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95B2" w14:textId="5CFCC3AD" w:rsidR="001707CE" w:rsidRPr="007C55B5" w:rsidRDefault="001707CE" w:rsidP="001707CE">
      <w:pPr>
        <w:pBdr>
          <w:top w:val="single" w:sz="4" w:space="1" w:color="auto"/>
          <w:bottom w:val="single" w:sz="4" w:space="0" w:color="auto"/>
          <w:between w:val="single" w:sz="4" w:space="1" w:color="auto"/>
        </w:pBdr>
        <w:rPr>
          <w:rFonts w:asciiTheme="majorHAnsi" w:hAnsiTheme="majorHAnsi" w:cs="Times New Roman"/>
          <w:b/>
          <w:i/>
          <w:sz w:val="28"/>
        </w:rPr>
      </w:pPr>
      <w:bookmarkStart w:id="0" w:name="_GoBack"/>
      <w:bookmarkEnd w:id="0"/>
      <w:r>
        <w:rPr>
          <w:rFonts w:asciiTheme="majorHAnsi" w:hAnsiTheme="majorHAnsi" w:cs="Times New Roman"/>
          <w:b/>
          <w:i/>
          <w:sz w:val="28"/>
        </w:rPr>
        <w:t>A Cycle of Addiction</w:t>
      </w:r>
    </w:p>
    <w:p w14:paraId="587393B3" w14:textId="4C1B5FA6" w:rsidR="00887570" w:rsidRDefault="00887570" w:rsidP="00887570">
      <w:pPr>
        <w:pStyle w:val="xmsonormal"/>
        <w:shd w:val="clear" w:color="auto" w:fill="FFFFFF"/>
        <w:spacing w:before="0" w:beforeAutospacing="0" w:after="0" w:afterAutospacing="0"/>
        <w:rPr>
          <w:rFonts w:ascii="Calibri" w:hAnsi="Calibri" w:cs="Calibri"/>
          <w:b/>
          <w:bCs/>
          <w:color w:val="000000"/>
          <w:sz w:val="22"/>
          <w:szCs w:val="22"/>
        </w:rPr>
      </w:pPr>
    </w:p>
    <w:p w14:paraId="51312E15" w14:textId="4F571ECE" w:rsidR="00482B48" w:rsidRDefault="00646B18" w:rsidP="00887570">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A 35-year Secular Trend</w:t>
      </w:r>
    </w:p>
    <w:p w14:paraId="0BD6C316" w14:textId="77777777" w:rsidR="00482B48" w:rsidRDefault="00482B48" w:rsidP="00887570">
      <w:pPr>
        <w:pStyle w:val="xmsonormal"/>
        <w:shd w:val="clear" w:color="auto" w:fill="FFFFFF"/>
        <w:spacing w:before="0" w:beforeAutospacing="0" w:after="0" w:afterAutospacing="0"/>
        <w:rPr>
          <w:rFonts w:ascii="Calibri" w:hAnsi="Calibri" w:cs="Calibri"/>
          <w:color w:val="000000"/>
          <w:sz w:val="22"/>
          <w:szCs w:val="22"/>
        </w:rPr>
      </w:pPr>
    </w:p>
    <w:p w14:paraId="4FE11496" w14:textId="40CF2830" w:rsidR="00D4436E" w:rsidRPr="00FA5851" w:rsidRDefault="00FA5851" w:rsidP="00D35F8A">
      <w:pPr>
        <w:pStyle w:val="xmsonormal"/>
        <w:shd w:val="clear" w:color="auto" w:fill="FFFFFF"/>
        <w:spacing w:before="0" w:beforeAutospacing="0" w:after="0" w:afterAutospacing="0"/>
        <w:jc w:val="both"/>
        <w:rPr>
          <w:rFonts w:ascii="Calibri" w:hAnsi="Calibri" w:cs="Calibri"/>
          <w:sz w:val="22"/>
          <w:szCs w:val="22"/>
        </w:rPr>
      </w:pPr>
      <w:r w:rsidRPr="00FA5851">
        <w:rPr>
          <w:rFonts w:ascii="Calibri" w:hAnsi="Calibri" w:cs="Calibri"/>
          <w:sz w:val="22"/>
          <w:szCs w:val="22"/>
        </w:rPr>
        <w:t>T</w:t>
      </w:r>
      <w:r w:rsidR="008C11C7" w:rsidRPr="00FA5851">
        <w:rPr>
          <w:rFonts w:ascii="Calibri" w:hAnsi="Calibri" w:cs="Calibri"/>
          <w:sz w:val="22"/>
          <w:szCs w:val="22"/>
        </w:rPr>
        <w:t>wo of the</w:t>
      </w:r>
      <w:r w:rsidR="00887570" w:rsidRPr="00FA5851">
        <w:rPr>
          <w:rFonts w:ascii="Calibri" w:hAnsi="Calibri" w:cs="Calibri"/>
          <w:sz w:val="22"/>
          <w:szCs w:val="22"/>
        </w:rPr>
        <w:t xml:space="preserve"> world’s major central banks – namely the Bank of Japan (BOJ) and the European Central Bank (ECB) </w:t>
      </w:r>
      <w:r w:rsidR="008C11C7" w:rsidRPr="00FA5851">
        <w:rPr>
          <w:rFonts w:ascii="Calibri" w:hAnsi="Calibri" w:cs="Calibri"/>
          <w:sz w:val="22"/>
          <w:szCs w:val="22"/>
        </w:rPr>
        <w:t>–</w:t>
      </w:r>
      <w:r w:rsidR="00887570" w:rsidRPr="00FA5851">
        <w:rPr>
          <w:rFonts w:ascii="Calibri" w:hAnsi="Calibri" w:cs="Calibri"/>
          <w:sz w:val="22"/>
          <w:szCs w:val="22"/>
        </w:rPr>
        <w:t xml:space="preserve"> </w:t>
      </w:r>
      <w:r w:rsidR="008C11C7" w:rsidRPr="00FA5851">
        <w:rPr>
          <w:rFonts w:ascii="Calibri" w:hAnsi="Calibri" w:cs="Calibri"/>
          <w:sz w:val="22"/>
          <w:szCs w:val="22"/>
        </w:rPr>
        <w:t>have created what is akin to a cycle of addiction t</w:t>
      </w:r>
      <w:r w:rsidR="00887570" w:rsidRPr="00FA5851">
        <w:rPr>
          <w:rFonts w:ascii="Calibri" w:hAnsi="Calibri" w:cs="Calibri"/>
          <w:sz w:val="22"/>
          <w:szCs w:val="22"/>
        </w:rPr>
        <w:t xml:space="preserve">o </w:t>
      </w:r>
      <w:r w:rsidR="00887570" w:rsidRPr="00FA5851">
        <w:rPr>
          <w:rFonts w:ascii="Calibri" w:hAnsi="Calibri" w:cs="Calibri"/>
          <w:i/>
          <w:iCs/>
          <w:sz w:val="22"/>
          <w:szCs w:val="22"/>
        </w:rPr>
        <w:t xml:space="preserve">negative </w:t>
      </w:r>
      <w:r w:rsidR="0057438D" w:rsidRPr="0057438D">
        <w:rPr>
          <w:rFonts w:ascii="Calibri" w:hAnsi="Calibri" w:cs="Calibri"/>
          <w:iCs/>
          <w:sz w:val="22"/>
          <w:szCs w:val="22"/>
        </w:rPr>
        <w:t xml:space="preserve">interest </w:t>
      </w:r>
      <w:r w:rsidR="00887570" w:rsidRPr="00FA5851">
        <w:rPr>
          <w:rFonts w:ascii="Calibri" w:hAnsi="Calibri" w:cs="Calibri"/>
          <w:sz w:val="22"/>
          <w:szCs w:val="22"/>
        </w:rPr>
        <w:t xml:space="preserve">rates. </w:t>
      </w:r>
      <w:r w:rsidRPr="00FA5851">
        <w:rPr>
          <w:rFonts w:ascii="Calibri" w:hAnsi="Calibri" w:cs="Calibri"/>
          <w:sz w:val="22"/>
          <w:szCs w:val="22"/>
        </w:rPr>
        <w:t xml:space="preserve">Moreover, even those developed economies with positive rates </w:t>
      </w:r>
      <w:r>
        <w:rPr>
          <w:rFonts w:ascii="Calibri" w:hAnsi="Calibri" w:cs="Calibri"/>
          <w:sz w:val="22"/>
          <w:szCs w:val="22"/>
        </w:rPr>
        <w:t xml:space="preserve">appear addicted to </w:t>
      </w:r>
      <w:r w:rsidR="0057438D">
        <w:rPr>
          <w:rFonts w:ascii="Calibri" w:hAnsi="Calibri" w:cs="Calibri"/>
          <w:sz w:val="22"/>
          <w:szCs w:val="22"/>
        </w:rPr>
        <w:t>near-zero rates</w:t>
      </w:r>
      <w:r w:rsidRPr="00FA5851">
        <w:rPr>
          <w:rFonts w:ascii="Calibri" w:hAnsi="Calibri" w:cs="Calibri"/>
          <w:sz w:val="22"/>
          <w:szCs w:val="22"/>
        </w:rPr>
        <w:t xml:space="preserve">. </w:t>
      </w:r>
      <w:r>
        <w:rPr>
          <w:rFonts w:ascii="Calibri" w:hAnsi="Calibri" w:cs="Calibri"/>
          <w:sz w:val="22"/>
          <w:szCs w:val="22"/>
        </w:rPr>
        <w:t>Without them</w:t>
      </w:r>
      <w:r w:rsidRPr="00FA5851">
        <w:rPr>
          <w:rFonts w:ascii="Calibri" w:hAnsi="Calibri" w:cs="Calibri"/>
          <w:sz w:val="22"/>
          <w:szCs w:val="22"/>
        </w:rPr>
        <w:t xml:space="preserve">, developed market economies </w:t>
      </w:r>
      <w:r>
        <w:rPr>
          <w:rFonts w:ascii="Calibri" w:hAnsi="Calibri" w:cs="Calibri"/>
          <w:sz w:val="22"/>
          <w:szCs w:val="22"/>
        </w:rPr>
        <w:t xml:space="preserve">seemingly </w:t>
      </w:r>
      <w:r w:rsidR="000C3A15">
        <w:rPr>
          <w:rFonts w:ascii="Calibri" w:hAnsi="Calibri" w:cs="Calibri"/>
          <w:sz w:val="22"/>
          <w:szCs w:val="22"/>
        </w:rPr>
        <w:t xml:space="preserve">begin to </w:t>
      </w:r>
      <w:r w:rsidR="00217E60">
        <w:rPr>
          <w:rFonts w:ascii="Calibri" w:hAnsi="Calibri" w:cs="Calibri"/>
          <w:sz w:val="22"/>
          <w:szCs w:val="22"/>
        </w:rPr>
        <w:t xml:space="preserve">slip back into </w:t>
      </w:r>
      <w:r w:rsidR="0040090D">
        <w:rPr>
          <w:rFonts w:ascii="Calibri" w:hAnsi="Calibri" w:cs="Calibri"/>
          <w:sz w:val="22"/>
          <w:szCs w:val="22"/>
        </w:rPr>
        <w:t xml:space="preserve">growth </w:t>
      </w:r>
      <w:r w:rsidR="00217E60">
        <w:rPr>
          <w:rFonts w:ascii="Calibri" w:hAnsi="Calibri" w:cs="Calibri"/>
          <w:sz w:val="22"/>
          <w:szCs w:val="22"/>
        </w:rPr>
        <w:t>malaise</w:t>
      </w:r>
      <w:r w:rsidRPr="00FA5851">
        <w:rPr>
          <w:rFonts w:ascii="Calibri" w:hAnsi="Calibri" w:cs="Calibri"/>
          <w:sz w:val="22"/>
          <w:szCs w:val="22"/>
        </w:rPr>
        <w:t>.</w:t>
      </w:r>
      <w:r w:rsidR="0040090D">
        <w:rPr>
          <w:rStyle w:val="FootnoteReference"/>
          <w:rFonts w:ascii="Calibri" w:hAnsi="Calibri" w:cs="Calibri"/>
          <w:sz w:val="22"/>
          <w:szCs w:val="22"/>
        </w:rPr>
        <w:footnoteReference w:id="1"/>
      </w:r>
      <w:r w:rsidRPr="00FA5851">
        <w:rPr>
          <w:rFonts w:ascii="Calibri" w:hAnsi="Calibri" w:cs="Calibri"/>
          <w:sz w:val="22"/>
          <w:szCs w:val="22"/>
        </w:rPr>
        <w:t xml:space="preserve"> </w:t>
      </w:r>
      <w:r w:rsidR="008C11C7" w:rsidRPr="00FA5851">
        <w:rPr>
          <w:rFonts w:ascii="Calibri" w:hAnsi="Calibri" w:cs="Calibri"/>
          <w:sz w:val="22"/>
          <w:szCs w:val="22"/>
        </w:rPr>
        <w:t xml:space="preserve">Ben Bernanke’s </w:t>
      </w:r>
      <w:r w:rsidR="00D4436E" w:rsidRPr="00FA5851">
        <w:rPr>
          <w:rFonts w:ascii="Calibri" w:hAnsi="Calibri" w:cs="Calibri"/>
          <w:sz w:val="22"/>
          <w:szCs w:val="22"/>
        </w:rPr>
        <w:t xml:space="preserve">1999 </w:t>
      </w:r>
      <w:r>
        <w:rPr>
          <w:rFonts w:ascii="Calibri" w:hAnsi="Calibri" w:cs="Calibri"/>
          <w:sz w:val="22"/>
          <w:szCs w:val="22"/>
        </w:rPr>
        <w:t xml:space="preserve">critique of </w:t>
      </w:r>
      <w:r w:rsidR="008C11C7" w:rsidRPr="00FA5851">
        <w:rPr>
          <w:rFonts w:ascii="Calibri" w:hAnsi="Calibri" w:cs="Calibri"/>
          <w:sz w:val="22"/>
          <w:szCs w:val="22"/>
        </w:rPr>
        <w:t>the Japanese central bank</w:t>
      </w:r>
      <w:r>
        <w:rPr>
          <w:rFonts w:ascii="Calibri" w:hAnsi="Calibri" w:cs="Calibri"/>
          <w:sz w:val="22"/>
          <w:szCs w:val="22"/>
        </w:rPr>
        <w:t xml:space="preserve">’s failure to act </w:t>
      </w:r>
      <w:r w:rsidR="008C11C7" w:rsidRPr="00FA5851">
        <w:rPr>
          <w:rFonts w:ascii="Calibri" w:hAnsi="Calibri" w:cs="Calibri"/>
          <w:sz w:val="22"/>
          <w:szCs w:val="22"/>
        </w:rPr>
        <w:t>aggressively enough to stop their ‘lost decade’ is arguably o</w:t>
      </w:r>
      <w:r w:rsidR="00887570" w:rsidRPr="00FA5851">
        <w:rPr>
          <w:rFonts w:ascii="Calibri" w:hAnsi="Calibri" w:cs="Calibri"/>
          <w:sz w:val="22"/>
          <w:szCs w:val="22"/>
        </w:rPr>
        <w:t xml:space="preserve">ne of the first seeds of </w:t>
      </w:r>
      <w:r w:rsidR="008C11C7" w:rsidRPr="00FA5851">
        <w:rPr>
          <w:rFonts w:ascii="Calibri" w:hAnsi="Calibri" w:cs="Calibri"/>
          <w:sz w:val="22"/>
          <w:szCs w:val="22"/>
        </w:rPr>
        <w:t xml:space="preserve">the ‘do whatever it takes’ </w:t>
      </w:r>
      <w:r>
        <w:rPr>
          <w:rFonts w:ascii="Calibri" w:hAnsi="Calibri" w:cs="Calibri"/>
          <w:sz w:val="22"/>
          <w:szCs w:val="22"/>
        </w:rPr>
        <w:t>mantra</w:t>
      </w:r>
      <w:r w:rsidR="0040090D">
        <w:rPr>
          <w:rFonts w:ascii="Calibri" w:hAnsi="Calibri" w:cs="Calibri"/>
          <w:sz w:val="22"/>
          <w:szCs w:val="22"/>
        </w:rPr>
        <w:t>s</w:t>
      </w:r>
      <w:r w:rsidR="008C11C7" w:rsidRPr="00FA5851">
        <w:rPr>
          <w:rFonts w:ascii="Calibri" w:hAnsi="Calibri" w:cs="Calibri"/>
          <w:sz w:val="22"/>
          <w:szCs w:val="22"/>
        </w:rPr>
        <w:t xml:space="preserve"> </w:t>
      </w:r>
      <w:r>
        <w:rPr>
          <w:rFonts w:ascii="Calibri" w:hAnsi="Calibri" w:cs="Calibri"/>
          <w:sz w:val="22"/>
          <w:szCs w:val="22"/>
        </w:rPr>
        <w:t>now so common amongst global central bankers</w:t>
      </w:r>
      <w:r w:rsidR="008C11C7" w:rsidRPr="00FA5851">
        <w:rPr>
          <w:rFonts w:ascii="Calibri" w:hAnsi="Calibri" w:cs="Calibri"/>
          <w:sz w:val="22"/>
          <w:szCs w:val="22"/>
        </w:rPr>
        <w:t>.</w:t>
      </w:r>
      <w:r w:rsidR="00F00462" w:rsidRPr="00FA5851">
        <w:rPr>
          <w:rStyle w:val="FootnoteReference"/>
          <w:rFonts w:ascii="Calibri" w:hAnsi="Calibri" w:cs="Calibri"/>
          <w:sz w:val="22"/>
          <w:szCs w:val="22"/>
        </w:rPr>
        <w:footnoteReference w:id="2"/>
      </w:r>
      <w:r w:rsidR="00F00462" w:rsidRPr="00FA5851">
        <w:rPr>
          <w:rFonts w:ascii="Calibri" w:hAnsi="Calibri" w:cs="Calibri"/>
          <w:sz w:val="22"/>
          <w:szCs w:val="22"/>
        </w:rPr>
        <w:t xml:space="preserve"> </w:t>
      </w:r>
      <w:r w:rsidR="0040090D">
        <w:rPr>
          <w:rFonts w:ascii="Calibri" w:hAnsi="Calibri" w:cs="Calibri"/>
          <w:sz w:val="22"/>
          <w:szCs w:val="22"/>
        </w:rPr>
        <w:t xml:space="preserve"> These</w:t>
      </w:r>
      <w:r>
        <w:rPr>
          <w:rFonts w:ascii="Calibri" w:hAnsi="Calibri" w:cs="Calibri"/>
          <w:sz w:val="22"/>
          <w:szCs w:val="22"/>
        </w:rPr>
        <w:t xml:space="preserve"> mantras</w:t>
      </w:r>
      <w:r w:rsidR="0040090D">
        <w:rPr>
          <w:rFonts w:ascii="Calibri" w:hAnsi="Calibri" w:cs="Calibri"/>
          <w:sz w:val="22"/>
          <w:szCs w:val="22"/>
        </w:rPr>
        <w:t>’</w:t>
      </w:r>
      <w:r>
        <w:rPr>
          <w:rFonts w:ascii="Calibri" w:hAnsi="Calibri" w:cs="Calibri"/>
          <w:sz w:val="22"/>
          <w:szCs w:val="22"/>
        </w:rPr>
        <w:t xml:space="preserve"> tools</w:t>
      </w:r>
      <w:r w:rsidR="008C11C7" w:rsidRPr="00FA5851">
        <w:rPr>
          <w:rFonts w:ascii="Calibri" w:hAnsi="Calibri" w:cs="Calibri"/>
          <w:sz w:val="22"/>
          <w:szCs w:val="22"/>
        </w:rPr>
        <w:t xml:space="preserve"> </w:t>
      </w:r>
      <w:r w:rsidR="00887570" w:rsidRPr="00FA5851">
        <w:rPr>
          <w:rFonts w:ascii="Calibri" w:hAnsi="Calibri" w:cs="Calibri"/>
          <w:sz w:val="22"/>
          <w:szCs w:val="22"/>
        </w:rPr>
        <w:t>include quantitative easing (QE</w:t>
      </w:r>
      <w:r w:rsidR="00217E60">
        <w:rPr>
          <w:rFonts w:ascii="Calibri" w:hAnsi="Calibri" w:cs="Calibri"/>
          <w:sz w:val="22"/>
          <w:szCs w:val="22"/>
        </w:rPr>
        <w:t>)</w:t>
      </w:r>
      <w:r w:rsidR="00D35F8A" w:rsidRPr="00FA5851">
        <w:rPr>
          <w:rFonts w:ascii="Calibri" w:hAnsi="Calibri" w:cs="Calibri"/>
          <w:sz w:val="22"/>
          <w:szCs w:val="22"/>
        </w:rPr>
        <w:t xml:space="preserve"> - </w:t>
      </w:r>
      <w:r w:rsidR="00887570" w:rsidRPr="00FA5851">
        <w:rPr>
          <w:rFonts w:ascii="Calibri" w:hAnsi="Calibri" w:cs="Calibri"/>
          <w:sz w:val="22"/>
          <w:szCs w:val="22"/>
        </w:rPr>
        <w:t>also known as Large Scale Asset Purchases (LSAPs)</w:t>
      </w:r>
      <w:r w:rsidR="00217E60">
        <w:rPr>
          <w:rFonts w:ascii="Calibri" w:hAnsi="Calibri" w:cs="Calibri"/>
          <w:sz w:val="22"/>
          <w:szCs w:val="22"/>
        </w:rPr>
        <w:t xml:space="preserve"> or Permanent Open Market Operations (POMOs)</w:t>
      </w:r>
      <w:r w:rsidR="00EB6AA1">
        <w:rPr>
          <w:rFonts w:ascii="Calibri" w:hAnsi="Calibri" w:cs="Calibri"/>
          <w:sz w:val="22"/>
          <w:szCs w:val="22"/>
        </w:rPr>
        <w:t xml:space="preserve"> -</w:t>
      </w:r>
      <w:r w:rsidR="00D4436E" w:rsidRPr="00FA5851">
        <w:rPr>
          <w:rFonts w:ascii="Calibri" w:hAnsi="Calibri" w:cs="Calibri"/>
          <w:sz w:val="22"/>
          <w:szCs w:val="22"/>
        </w:rPr>
        <w:t xml:space="preserve"> which </w:t>
      </w:r>
      <w:r w:rsidR="0057438D">
        <w:rPr>
          <w:rFonts w:ascii="Calibri" w:hAnsi="Calibri" w:cs="Calibri"/>
          <w:sz w:val="22"/>
          <w:szCs w:val="22"/>
        </w:rPr>
        <w:t xml:space="preserve">have </w:t>
      </w:r>
      <w:r w:rsidR="007636C5">
        <w:rPr>
          <w:rFonts w:ascii="Calibri" w:hAnsi="Calibri" w:cs="Calibri"/>
          <w:sz w:val="22"/>
          <w:szCs w:val="22"/>
        </w:rPr>
        <w:t>ultimately forced long-</w:t>
      </w:r>
      <w:r w:rsidR="008C11C7" w:rsidRPr="00FA5851">
        <w:rPr>
          <w:rFonts w:ascii="Calibri" w:hAnsi="Calibri" w:cs="Calibri"/>
          <w:sz w:val="22"/>
          <w:szCs w:val="22"/>
        </w:rPr>
        <w:t>rates negative</w:t>
      </w:r>
      <w:r>
        <w:rPr>
          <w:rFonts w:ascii="Calibri" w:hAnsi="Calibri" w:cs="Calibri"/>
          <w:sz w:val="22"/>
          <w:szCs w:val="22"/>
        </w:rPr>
        <w:t xml:space="preserve"> in much of Europe and Japan</w:t>
      </w:r>
      <w:r w:rsidR="008C11C7" w:rsidRPr="00FA5851">
        <w:rPr>
          <w:rFonts w:ascii="Calibri" w:hAnsi="Calibri" w:cs="Calibri"/>
          <w:sz w:val="22"/>
          <w:szCs w:val="22"/>
        </w:rPr>
        <w:t xml:space="preserve">. </w:t>
      </w:r>
      <w:r w:rsidR="0040090D">
        <w:rPr>
          <w:rFonts w:ascii="Calibri" w:hAnsi="Calibri" w:cs="Calibri"/>
          <w:sz w:val="22"/>
          <w:szCs w:val="22"/>
        </w:rPr>
        <w:t xml:space="preserve">This suppression has far longer-lasting effects on capital allocation decisions and investor behavior than traditional </w:t>
      </w:r>
      <w:r w:rsidR="007636C5">
        <w:rPr>
          <w:rFonts w:ascii="Calibri" w:hAnsi="Calibri" w:cs="Calibri"/>
          <w:sz w:val="22"/>
          <w:szCs w:val="22"/>
        </w:rPr>
        <w:t>rates policy using temporary open market operations (TOMOs)</w:t>
      </w:r>
      <w:r w:rsidR="0040090D">
        <w:rPr>
          <w:rFonts w:ascii="Calibri" w:hAnsi="Calibri" w:cs="Calibri"/>
          <w:sz w:val="22"/>
          <w:szCs w:val="22"/>
        </w:rPr>
        <w:t>.</w:t>
      </w:r>
      <w:r w:rsidR="00181FC1">
        <w:rPr>
          <w:rStyle w:val="FootnoteReference"/>
          <w:rFonts w:ascii="Calibri" w:hAnsi="Calibri" w:cs="Calibri"/>
          <w:sz w:val="22"/>
          <w:szCs w:val="22"/>
        </w:rPr>
        <w:footnoteReference w:id="3"/>
      </w:r>
    </w:p>
    <w:p w14:paraId="074DCAC0" w14:textId="532150F5" w:rsidR="00D4436E" w:rsidRDefault="00D4436E" w:rsidP="00D35F8A">
      <w:pPr>
        <w:pStyle w:val="xmsonormal"/>
        <w:shd w:val="clear" w:color="auto" w:fill="FFFFFF"/>
        <w:spacing w:before="0" w:beforeAutospacing="0" w:after="0" w:afterAutospacing="0"/>
        <w:jc w:val="both"/>
        <w:rPr>
          <w:rFonts w:ascii="Calibri" w:hAnsi="Calibri" w:cs="Calibri"/>
          <w:color w:val="000000"/>
          <w:sz w:val="22"/>
          <w:szCs w:val="22"/>
        </w:rPr>
      </w:pPr>
    </w:p>
    <w:p w14:paraId="3D30B930" w14:textId="12FB7BC9" w:rsidR="00217E60" w:rsidRPr="00FA5851" w:rsidRDefault="00887570" w:rsidP="00217E60">
      <w:pPr>
        <w:pStyle w:val="xmsonormal"/>
        <w:shd w:val="clear" w:color="auto" w:fill="FFFFFF"/>
        <w:spacing w:before="0" w:beforeAutospacing="0" w:after="0" w:afterAutospacing="0"/>
        <w:jc w:val="both"/>
        <w:rPr>
          <w:rFonts w:ascii="Calibri" w:hAnsi="Calibri" w:cs="Calibri"/>
          <w:sz w:val="22"/>
          <w:szCs w:val="22"/>
        </w:rPr>
      </w:pPr>
      <w:r>
        <w:rPr>
          <w:rFonts w:ascii="Calibri" w:hAnsi="Calibri" w:cs="Calibri"/>
          <w:color w:val="000000"/>
          <w:sz w:val="22"/>
          <w:szCs w:val="22"/>
        </w:rPr>
        <w:t>Step-by-step and slowly over time</w:t>
      </w:r>
      <w:r w:rsidR="00D4436E">
        <w:rPr>
          <w:rFonts w:ascii="Calibri" w:hAnsi="Calibri" w:cs="Calibri"/>
          <w:color w:val="000000"/>
          <w:sz w:val="22"/>
          <w:szCs w:val="22"/>
        </w:rPr>
        <w:t>,</w:t>
      </w:r>
      <w:r w:rsidR="00F00462">
        <w:rPr>
          <w:rFonts w:ascii="Calibri" w:hAnsi="Calibri" w:cs="Calibri"/>
          <w:color w:val="000000"/>
          <w:sz w:val="22"/>
          <w:szCs w:val="22"/>
        </w:rPr>
        <w:t xml:space="preserve"> the </w:t>
      </w:r>
      <w:proofErr w:type="spellStart"/>
      <w:r w:rsidR="00D4436E">
        <w:rPr>
          <w:rFonts w:ascii="Calibri" w:hAnsi="Calibri" w:cs="Calibri"/>
          <w:color w:val="000000"/>
          <w:sz w:val="22"/>
          <w:szCs w:val="22"/>
        </w:rPr>
        <w:t>BoJ</w:t>
      </w:r>
      <w:proofErr w:type="spellEnd"/>
      <w:r w:rsidR="00D4436E">
        <w:rPr>
          <w:rFonts w:ascii="Calibri" w:hAnsi="Calibri" w:cs="Calibri"/>
          <w:color w:val="000000"/>
          <w:sz w:val="22"/>
          <w:szCs w:val="22"/>
        </w:rPr>
        <w:t xml:space="preserve"> and ECB</w:t>
      </w:r>
      <w:r>
        <w:rPr>
          <w:rFonts w:ascii="Calibri" w:hAnsi="Calibri" w:cs="Calibri"/>
          <w:color w:val="000000"/>
          <w:sz w:val="22"/>
          <w:szCs w:val="22"/>
        </w:rPr>
        <w:t xml:space="preserve"> </w:t>
      </w:r>
      <w:r w:rsidR="00AC090B">
        <w:rPr>
          <w:rFonts w:ascii="Calibri" w:hAnsi="Calibri" w:cs="Calibri"/>
          <w:color w:val="000000"/>
          <w:sz w:val="22"/>
          <w:szCs w:val="22"/>
        </w:rPr>
        <w:t>followed the Swedes</w:t>
      </w:r>
      <w:r w:rsidR="00F00462">
        <w:rPr>
          <w:rFonts w:ascii="Calibri" w:hAnsi="Calibri" w:cs="Calibri"/>
          <w:color w:val="000000"/>
          <w:sz w:val="22"/>
          <w:szCs w:val="22"/>
        </w:rPr>
        <w:t xml:space="preserve"> and </w:t>
      </w:r>
      <w:r>
        <w:rPr>
          <w:rFonts w:ascii="Calibri" w:hAnsi="Calibri" w:cs="Calibri"/>
          <w:color w:val="000000"/>
          <w:sz w:val="22"/>
          <w:szCs w:val="22"/>
        </w:rPr>
        <w:t xml:space="preserve">eventually arrived at negative </w:t>
      </w:r>
      <w:r w:rsidR="00217E60">
        <w:rPr>
          <w:rFonts w:ascii="Calibri" w:hAnsi="Calibri" w:cs="Calibri"/>
          <w:color w:val="000000"/>
          <w:sz w:val="22"/>
          <w:szCs w:val="22"/>
        </w:rPr>
        <w:t xml:space="preserve">interest </w:t>
      </w:r>
      <w:r>
        <w:rPr>
          <w:rFonts w:ascii="Calibri" w:hAnsi="Calibri" w:cs="Calibri"/>
          <w:color w:val="000000"/>
          <w:sz w:val="22"/>
          <w:szCs w:val="22"/>
        </w:rPr>
        <w:t xml:space="preserve">rates </w:t>
      </w:r>
      <w:r w:rsidR="00D4436E">
        <w:rPr>
          <w:rFonts w:ascii="Calibri" w:hAnsi="Calibri" w:cs="Calibri"/>
          <w:color w:val="000000"/>
          <w:sz w:val="22"/>
          <w:szCs w:val="22"/>
        </w:rPr>
        <w:t>policy</w:t>
      </w:r>
      <w:r w:rsidR="00217E60">
        <w:rPr>
          <w:rFonts w:ascii="Calibri" w:hAnsi="Calibri" w:cs="Calibri"/>
          <w:color w:val="000000"/>
          <w:sz w:val="22"/>
          <w:szCs w:val="22"/>
        </w:rPr>
        <w:t xml:space="preserve"> (NIRP)</w:t>
      </w:r>
      <w:r w:rsidR="00FA5851">
        <w:rPr>
          <w:rFonts w:ascii="Calibri" w:hAnsi="Calibri" w:cs="Calibri"/>
          <w:color w:val="000000"/>
          <w:sz w:val="22"/>
          <w:szCs w:val="22"/>
        </w:rPr>
        <w:t xml:space="preserve">. </w:t>
      </w:r>
      <w:r w:rsidR="002413FC">
        <w:rPr>
          <w:rFonts w:ascii="Calibri" w:hAnsi="Calibri" w:cs="Calibri"/>
          <w:color w:val="000000"/>
          <w:sz w:val="22"/>
          <w:szCs w:val="22"/>
        </w:rPr>
        <w:t xml:space="preserve">This policy was not just limited to deposit </w:t>
      </w:r>
      <w:proofErr w:type="gramStart"/>
      <w:r w:rsidR="002413FC">
        <w:rPr>
          <w:rFonts w:ascii="Calibri" w:hAnsi="Calibri" w:cs="Calibri"/>
          <w:color w:val="000000"/>
          <w:sz w:val="22"/>
          <w:szCs w:val="22"/>
        </w:rPr>
        <w:t>rates</w:t>
      </w:r>
      <w:proofErr w:type="gramEnd"/>
      <w:r w:rsidR="002413FC">
        <w:rPr>
          <w:rFonts w:ascii="Calibri" w:hAnsi="Calibri" w:cs="Calibri"/>
          <w:color w:val="000000"/>
          <w:sz w:val="22"/>
          <w:szCs w:val="22"/>
        </w:rPr>
        <w:t xml:space="preserve"> but QE allowed its application to longer duration risk-free </w:t>
      </w:r>
      <w:r w:rsidR="0040090D">
        <w:rPr>
          <w:rFonts w:ascii="Calibri" w:hAnsi="Calibri" w:cs="Calibri"/>
          <w:color w:val="000000"/>
          <w:sz w:val="22"/>
          <w:szCs w:val="22"/>
        </w:rPr>
        <w:t xml:space="preserve">(as well as to risky) </w:t>
      </w:r>
      <w:r w:rsidR="002413FC">
        <w:rPr>
          <w:rFonts w:ascii="Calibri" w:hAnsi="Calibri" w:cs="Calibri"/>
          <w:color w:val="000000"/>
          <w:sz w:val="22"/>
          <w:szCs w:val="22"/>
        </w:rPr>
        <w:t xml:space="preserve">assets. </w:t>
      </w:r>
      <w:r w:rsidR="00217E60">
        <w:rPr>
          <w:rFonts w:ascii="Calibri" w:hAnsi="Calibri" w:cs="Calibri"/>
          <w:color w:val="000000"/>
          <w:sz w:val="22"/>
          <w:szCs w:val="22"/>
        </w:rPr>
        <w:t xml:space="preserve">Similarly, </w:t>
      </w:r>
      <w:r w:rsidR="001C42CD">
        <w:rPr>
          <w:rFonts w:ascii="Calibri" w:hAnsi="Calibri" w:cs="Calibri"/>
          <w:color w:val="000000"/>
          <w:sz w:val="22"/>
          <w:szCs w:val="22"/>
        </w:rPr>
        <w:t xml:space="preserve">over the past 35-years, </w:t>
      </w:r>
      <w:r w:rsidR="00217E60">
        <w:rPr>
          <w:rFonts w:ascii="Calibri" w:hAnsi="Calibri" w:cs="Calibri"/>
          <w:color w:val="000000"/>
          <w:sz w:val="22"/>
          <w:szCs w:val="22"/>
        </w:rPr>
        <w:t xml:space="preserve">the Fed also has been on a march towards zero interest rate policy (ZIRP). </w:t>
      </w:r>
      <w:r w:rsidR="0057438D">
        <w:rPr>
          <w:rFonts w:ascii="Calibri" w:hAnsi="Calibri" w:cs="Calibri"/>
          <w:color w:val="000000"/>
          <w:sz w:val="22"/>
          <w:szCs w:val="22"/>
        </w:rPr>
        <w:t>However, t</w:t>
      </w:r>
      <w:r w:rsidR="00217E60">
        <w:rPr>
          <w:rFonts w:ascii="Calibri" w:hAnsi="Calibri" w:cs="Calibri"/>
          <w:color w:val="000000"/>
          <w:sz w:val="22"/>
          <w:szCs w:val="22"/>
        </w:rPr>
        <w:t>he U.S. has the luxury of far better demographics than Europe and Japan. The U.S. also has the benefit of fiscal unity</w:t>
      </w:r>
      <w:r w:rsidR="0057438D">
        <w:rPr>
          <w:rFonts w:ascii="Calibri" w:hAnsi="Calibri" w:cs="Calibri"/>
          <w:color w:val="000000"/>
          <w:sz w:val="22"/>
          <w:szCs w:val="22"/>
        </w:rPr>
        <w:t>, which Europe lacks, and t</w:t>
      </w:r>
      <w:r w:rsidR="00217E60">
        <w:rPr>
          <w:rFonts w:ascii="Calibri" w:hAnsi="Calibri" w:cs="Calibri"/>
          <w:color w:val="000000"/>
          <w:sz w:val="22"/>
          <w:szCs w:val="22"/>
        </w:rPr>
        <w:t xml:space="preserve">he U.S. has the benefit of possessing the world’s reserve currency. </w:t>
      </w:r>
      <w:r w:rsidR="00CC1171">
        <w:rPr>
          <w:rFonts w:ascii="Calibri" w:hAnsi="Calibri" w:cs="Calibri"/>
          <w:color w:val="000000"/>
          <w:sz w:val="22"/>
          <w:szCs w:val="22"/>
        </w:rPr>
        <w:t>The</w:t>
      </w:r>
      <w:r w:rsidR="00217E60">
        <w:rPr>
          <w:rFonts w:ascii="Calibri" w:hAnsi="Calibri" w:cs="Calibri"/>
          <w:color w:val="000000"/>
          <w:sz w:val="22"/>
          <w:szCs w:val="22"/>
        </w:rPr>
        <w:t xml:space="preserve"> structural impediments to growth in Japan and Europe have </w:t>
      </w:r>
      <w:r w:rsidR="0057438D">
        <w:rPr>
          <w:rFonts w:ascii="Calibri" w:hAnsi="Calibri" w:cs="Calibri"/>
          <w:color w:val="000000"/>
          <w:sz w:val="22"/>
          <w:szCs w:val="22"/>
        </w:rPr>
        <w:t>arguably necessitated</w:t>
      </w:r>
      <w:r w:rsidR="00217E60">
        <w:rPr>
          <w:rFonts w:ascii="Calibri" w:hAnsi="Calibri" w:cs="Calibri"/>
          <w:color w:val="000000"/>
          <w:sz w:val="22"/>
          <w:szCs w:val="22"/>
        </w:rPr>
        <w:t xml:space="preserve"> </w:t>
      </w:r>
      <w:r w:rsidR="0057438D">
        <w:rPr>
          <w:rFonts w:ascii="Calibri" w:hAnsi="Calibri" w:cs="Calibri"/>
          <w:color w:val="000000"/>
          <w:sz w:val="22"/>
          <w:szCs w:val="22"/>
        </w:rPr>
        <w:t xml:space="preserve">more </w:t>
      </w:r>
      <w:r w:rsidR="00217E60">
        <w:rPr>
          <w:rFonts w:ascii="Calibri" w:hAnsi="Calibri" w:cs="Calibri"/>
          <w:color w:val="000000"/>
          <w:sz w:val="22"/>
          <w:szCs w:val="22"/>
        </w:rPr>
        <w:t xml:space="preserve">aggressive </w:t>
      </w:r>
      <w:r w:rsidR="00482B48">
        <w:rPr>
          <w:rFonts w:ascii="Calibri" w:hAnsi="Calibri" w:cs="Calibri"/>
          <w:color w:val="000000"/>
          <w:sz w:val="22"/>
          <w:szCs w:val="22"/>
        </w:rPr>
        <w:t>m</w:t>
      </w:r>
      <w:r w:rsidR="0057438D">
        <w:rPr>
          <w:rFonts w:ascii="Calibri" w:hAnsi="Calibri" w:cs="Calibri"/>
          <w:color w:val="000000"/>
          <w:sz w:val="22"/>
          <w:szCs w:val="22"/>
        </w:rPr>
        <w:t>onetary policy</w:t>
      </w:r>
      <w:r w:rsidR="00217E60">
        <w:rPr>
          <w:rFonts w:ascii="Calibri" w:hAnsi="Calibri" w:cs="Calibri"/>
          <w:color w:val="000000"/>
          <w:sz w:val="22"/>
          <w:szCs w:val="22"/>
        </w:rPr>
        <w:t xml:space="preserve">. </w:t>
      </w:r>
      <w:r w:rsidR="00482B48">
        <w:rPr>
          <w:rFonts w:ascii="Calibri" w:hAnsi="Calibri" w:cs="Calibri"/>
          <w:color w:val="000000"/>
          <w:sz w:val="22"/>
          <w:szCs w:val="22"/>
        </w:rPr>
        <w:t xml:space="preserve">Not all </w:t>
      </w:r>
      <w:r w:rsidR="00CC1171">
        <w:rPr>
          <w:rFonts w:ascii="Calibri" w:hAnsi="Calibri" w:cs="Calibri"/>
          <w:color w:val="000000"/>
          <w:sz w:val="22"/>
          <w:szCs w:val="22"/>
        </w:rPr>
        <w:t xml:space="preserve">within the central bank community </w:t>
      </w:r>
      <w:r w:rsidR="00482B48">
        <w:rPr>
          <w:rFonts w:ascii="Calibri" w:hAnsi="Calibri" w:cs="Calibri"/>
          <w:color w:val="000000"/>
          <w:sz w:val="22"/>
          <w:szCs w:val="22"/>
        </w:rPr>
        <w:t>agree</w:t>
      </w:r>
      <w:r w:rsidR="0057438D">
        <w:rPr>
          <w:rFonts w:ascii="Calibri" w:hAnsi="Calibri" w:cs="Calibri"/>
          <w:color w:val="000000"/>
          <w:sz w:val="22"/>
          <w:szCs w:val="22"/>
        </w:rPr>
        <w:t xml:space="preserve"> with this approach</w:t>
      </w:r>
      <w:r w:rsidR="00482B48">
        <w:rPr>
          <w:rFonts w:ascii="Calibri" w:hAnsi="Calibri" w:cs="Calibri"/>
          <w:color w:val="000000"/>
          <w:sz w:val="22"/>
          <w:szCs w:val="22"/>
        </w:rPr>
        <w:t xml:space="preserve">. </w:t>
      </w:r>
      <w:r w:rsidR="00217E60" w:rsidRPr="00FA5851">
        <w:rPr>
          <w:rFonts w:ascii="Calibri" w:hAnsi="Calibri" w:cs="Calibri"/>
          <w:sz w:val="22"/>
          <w:szCs w:val="22"/>
        </w:rPr>
        <w:t xml:space="preserve">Former BOJ Governor Masaaki Shirakawa has </w:t>
      </w:r>
      <w:r w:rsidR="0057438D">
        <w:rPr>
          <w:rFonts w:ascii="Calibri" w:hAnsi="Calibri" w:cs="Calibri"/>
          <w:sz w:val="22"/>
          <w:szCs w:val="22"/>
        </w:rPr>
        <w:t>identified what he calls</w:t>
      </w:r>
      <w:r w:rsidR="00217E60">
        <w:rPr>
          <w:rFonts w:ascii="Calibri" w:hAnsi="Calibri" w:cs="Calibri"/>
          <w:sz w:val="22"/>
          <w:szCs w:val="22"/>
        </w:rPr>
        <w:t xml:space="preserve"> the</w:t>
      </w:r>
      <w:r w:rsidR="00217E60" w:rsidRPr="00FA5851">
        <w:rPr>
          <w:rFonts w:ascii="Calibri" w:hAnsi="Calibri" w:cs="Calibri"/>
          <w:sz w:val="22"/>
          <w:szCs w:val="22"/>
        </w:rPr>
        <w:t xml:space="preserve"> global ‘Japanification’ of monetary policy; </w:t>
      </w:r>
      <w:r w:rsidR="0057438D">
        <w:rPr>
          <w:rFonts w:ascii="Calibri" w:hAnsi="Calibri" w:cs="Calibri"/>
          <w:sz w:val="22"/>
          <w:szCs w:val="22"/>
        </w:rPr>
        <w:t xml:space="preserve">importantly, </w:t>
      </w:r>
      <w:r w:rsidR="00217E60" w:rsidRPr="00FA5851">
        <w:rPr>
          <w:rFonts w:ascii="Calibri" w:hAnsi="Calibri" w:cs="Calibri"/>
          <w:sz w:val="22"/>
          <w:szCs w:val="22"/>
        </w:rPr>
        <w:t>he argues it has failed.</w:t>
      </w:r>
      <w:r w:rsidR="001C42CD">
        <w:rPr>
          <w:rStyle w:val="FootnoteReference"/>
          <w:rFonts w:ascii="Calibri" w:hAnsi="Calibri" w:cs="Calibri"/>
          <w:sz w:val="22"/>
          <w:szCs w:val="22"/>
        </w:rPr>
        <w:footnoteReference w:id="4"/>
      </w:r>
      <w:r w:rsidR="00217E60" w:rsidRPr="00FA5851">
        <w:rPr>
          <w:rFonts w:ascii="Calibri" w:hAnsi="Calibri" w:cs="Calibri"/>
          <w:sz w:val="22"/>
          <w:szCs w:val="22"/>
        </w:rPr>
        <w:t xml:space="preserve"> </w:t>
      </w:r>
      <w:r w:rsidR="00217E60">
        <w:rPr>
          <w:rFonts w:ascii="Calibri" w:hAnsi="Calibri" w:cs="Calibri"/>
          <w:sz w:val="22"/>
          <w:szCs w:val="22"/>
        </w:rPr>
        <w:t xml:space="preserve">While Ben </w:t>
      </w:r>
      <w:r w:rsidR="00217E60" w:rsidRPr="00FA5851">
        <w:rPr>
          <w:rFonts w:ascii="Calibri" w:hAnsi="Calibri" w:cs="Calibri"/>
          <w:sz w:val="22"/>
          <w:szCs w:val="22"/>
        </w:rPr>
        <w:t>Bernanke has since recanted the se</w:t>
      </w:r>
      <w:r w:rsidR="00217E60">
        <w:rPr>
          <w:rFonts w:ascii="Calibri" w:hAnsi="Calibri" w:cs="Calibri"/>
          <w:sz w:val="22"/>
          <w:szCs w:val="22"/>
        </w:rPr>
        <w:t xml:space="preserve">verity of his </w:t>
      </w:r>
      <w:r w:rsidR="0040090D">
        <w:rPr>
          <w:rFonts w:ascii="Calibri" w:hAnsi="Calibri" w:cs="Calibri"/>
          <w:sz w:val="22"/>
          <w:szCs w:val="22"/>
        </w:rPr>
        <w:t xml:space="preserve">1999 </w:t>
      </w:r>
      <w:r w:rsidR="00217E60">
        <w:rPr>
          <w:rFonts w:ascii="Calibri" w:hAnsi="Calibri" w:cs="Calibri"/>
          <w:sz w:val="22"/>
          <w:szCs w:val="22"/>
        </w:rPr>
        <w:t>critique, it</w:t>
      </w:r>
      <w:r w:rsidR="00217E60" w:rsidRPr="00FA5851">
        <w:rPr>
          <w:rFonts w:ascii="Calibri" w:hAnsi="Calibri" w:cs="Calibri"/>
          <w:sz w:val="22"/>
          <w:szCs w:val="22"/>
        </w:rPr>
        <w:t xml:space="preserve"> has mattered little. Once </w:t>
      </w:r>
      <w:r w:rsidR="00217E60">
        <w:rPr>
          <w:rFonts w:ascii="Calibri" w:hAnsi="Calibri" w:cs="Calibri"/>
          <w:sz w:val="22"/>
          <w:szCs w:val="22"/>
        </w:rPr>
        <w:t>socialized</w:t>
      </w:r>
      <w:r w:rsidR="00217E60" w:rsidRPr="00FA5851">
        <w:rPr>
          <w:rFonts w:ascii="Calibri" w:hAnsi="Calibri" w:cs="Calibri"/>
          <w:sz w:val="22"/>
          <w:szCs w:val="22"/>
        </w:rPr>
        <w:t xml:space="preserve">, central bankers seized upon it as an excuse to become </w:t>
      </w:r>
      <w:r w:rsidR="00217E60">
        <w:rPr>
          <w:rFonts w:ascii="Calibri" w:hAnsi="Calibri" w:cs="Calibri"/>
          <w:sz w:val="22"/>
          <w:szCs w:val="22"/>
        </w:rPr>
        <w:t xml:space="preserve">even </w:t>
      </w:r>
      <w:r w:rsidR="00217E60" w:rsidRPr="00FA5851">
        <w:rPr>
          <w:rFonts w:ascii="Calibri" w:hAnsi="Calibri" w:cs="Calibri"/>
          <w:sz w:val="22"/>
          <w:szCs w:val="22"/>
        </w:rPr>
        <w:t xml:space="preserve">more active economic influencers. </w:t>
      </w:r>
    </w:p>
    <w:p w14:paraId="7395EF75" w14:textId="4B0ABC86" w:rsidR="00217E60" w:rsidRDefault="00217E60" w:rsidP="00D35F8A">
      <w:pPr>
        <w:pStyle w:val="xmsonormal"/>
        <w:shd w:val="clear" w:color="auto" w:fill="FFFFFF"/>
        <w:spacing w:before="0" w:beforeAutospacing="0" w:after="0" w:afterAutospacing="0"/>
        <w:jc w:val="both"/>
        <w:rPr>
          <w:rFonts w:ascii="Calibri" w:hAnsi="Calibri" w:cs="Calibri"/>
          <w:color w:val="000000"/>
          <w:sz w:val="22"/>
          <w:szCs w:val="22"/>
        </w:rPr>
      </w:pPr>
    </w:p>
    <w:p w14:paraId="7A1C067A" w14:textId="2979493C" w:rsidR="00482B48" w:rsidRDefault="00C3408C" w:rsidP="00D35F8A">
      <w:pPr>
        <w:pStyle w:val="xmsonormal"/>
        <w:shd w:val="clear" w:color="auto" w:fill="FFFFFF"/>
        <w:spacing w:before="0" w:beforeAutospacing="0" w:after="0" w:afterAutospacing="0"/>
        <w:jc w:val="both"/>
        <w:rPr>
          <w:rFonts w:ascii="Calibri" w:hAnsi="Calibri" w:cs="Calibri"/>
          <w:b/>
          <w:color w:val="000000"/>
          <w:sz w:val="22"/>
          <w:szCs w:val="22"/>
        </w:rPr>
      </w:pPr>
      <w:r>
        <w:rPr>
          <w:rFonts w:ascii="Calibri" w:hAnsi="Calibri" w:cs="Calibri"/>
          <w:b/>
          <w:color w:val="000000"/>
          <w:sz w:val="22"/>
          <w:szCs w:val="22"/>
        </w:rPr>
        <w:t>An Anachronism</w:t>
      </w:r>
    </w:p>
    <w:p w14:paraId="10458214" w14:textId="339B99BA" w:rsidR="000C3A15" w:rsidRDefault="000C3A15" w:rsidP="00D35F8A">
      <w:pPr>
        <w:pStyle w:val="xmsonormal"/>
        <w:shd w:val="clear" w:color="auto" w:fill="FFFFFF"/>
        <w:spacing w:before="0" w:beforeAutospacing="0" w:after="0" w:afterAutospacing="0"/>
        <w:jc w:val="both"/>
        <w:rPr>
          <w:rFonts w:ascii="Calibri" w:hAnsi="Calibri" w:cs="Calibri"/>
          <w:b/>
          <w:color w:val="000000"/>
          <w:sz w:val="22"/>
          <w:szCs w:val="22"/>
        </w:rPr>
      </w:pPr>
    </w:p>
    <w:p w14:paraId="2438DF1A" w14:textId="3301248E" w:rsidR="000C3A15" w:rsidRDefault="0040090D" w:rsidP="000C3A15">
      <w:pPr>
        <w:pStyle w:val="xmsonormal"/>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T</w:t>
      </w:r>
      <w:r w:rsidRPr="0079773B">
        <w:rPr>
          <w:rFonts w:ascii="Calibri" w:hAnsi="Calibri" w:cs="Calibri"/>
          <w:sz w:val="22"/>
          <w:szCs w:val="22"/>
        </w:rPr>
        <w:t xml:space="preserve">raditional monetary </w:t>
      </w:r>
      <w:r w:rsidR="00C3408C">
        <w:rPr>
          <w:rFonts w:ascii="Calibri" w:hAnsi="Calibri" w:cs="Calibri"/>
          <w:sz w:val="22"/>
          <w:szCs w:val="22"/>
        </w:rPr>
        <w:t>policy models are anachronistic</w:t>
      </w:r>
      <w:r w:rsidRPr="0079773B">
        <w:rPr>
          <w:rFonts w:ascii="Calibri" w:hAnsi="Calibri" w:cs="Calibri"/>
          <w:sz w:val="22"/>
          <w:szCs w:val="22"/>
        </w:rPr>
        <w:t xml:space="preserve">. </w:t>
      </w:r>
      <w:r w:rsidR="00CC1171">
        <w:rPr>
          <w:rFonts w:ascii="Calibri" w:hAnsi="Calibri" w:cs="Calibri"/>
          <w:sz w:val="22"/>
          <w:szCs w:val="22"/>
        </w:rPr>
        <w:t>Despite aggressive policy measures, i</w:t>
      </w:r>
      <w:r w:rsidR="000C3A15" w:rsidRPr="0079773B">
        <w:rPr>
          <w:rFonts w:ascii="Calibri" w:hAnsi="Calibri" w:cs="Calibri"/>
          <w:sz w:val="22"/>
          <w:szCs w:val="22"/>
        </w:rPr>
        <w:t>nflation</w:t>
      </w:r>
      <w:r w:rsidR="00CC1171">
        <w:rPr>
          <w:rFonts w:ascii="Calibri" w:hAnsi="Calibri" w:cs="Calibri"/>
          <w:sz w:val="22"/>
          <w:szCs w:val="22"/>
        </w:rPr>
        <w:t xml:space="preserve"> has not met central bank targets in the U.S., Europe or Japan</w:t>
      </w:r>
      <w:r>
        <w:rPr>
          <w:rFonts w:ascii="Calibri" w:hAnsi="Calibri" w:cs="Calibri"/>
          <w:sz w:val="22"/>
          <w:szCs w:val="22"/>
        </w:rPr>
        <w:t>.</w:t>
      </w:r>
      <w:r w:rsidR="00CC1171">
        <w:rPr>
          <w:rFonts w:ascii="Calibri" w:hAnsi="Calibri" w:cs="Calibri"/>
          <w:sz w:val="22"/>
          <w:szCs w:val="22"/>
        </w:rPr>
        <w:t xml:space="preserve"> </w:t>
      </w:r>
      <w:r w:rsidR="000C3A15" w:rsidRPr="0079773B">
        <w:rPr>
          <w:rFonts w:ascii="Calibri" w:hAnsi="Calibri" w:cs="Calibri"/>
          <w:sz w:val="22"/>
          <w:szCs w:val="22"/>
        </w:rPr>
        <w:t>The</w:t>
      </w:r>
      <w:r>
        <w:rPr>
          <w:rFonts w:ascii="Calibri" w:hAnsi="Calibri" w:cs="Calibri"/>
          <w:sz w:val="22"/>
          <w:szCs w:val="22"/>
        </w:rPr>
        <w:t xml:space="preserve"> </w:t>
      </w:r>
      <w:r w:rsidR="000C3A15" w:rsidRPr="0079773B">
        <w:rPr>
          <w:rFonts w:ascii="Calibri" w:hAnsi="Calibri" w:cs="Calibri"/>
          <w:sz w:val="22"/>
          <w:szCs w:val="22"/>
        </w:rPr>
        <w:t>closed and static monetary policy models of the past fail to recognize that the Fed is no longer the only large policy actor.</w:t>
      </w:r>
      <w:r w:rsidR="000C3A15">
        <w:rPr>
          <w:rFonts w:ascii="Calibri" w:hAnsi="Calibri" w:cs="Calibri"/>
          <w:sz w:val="22"/>
          <w:szCs w:val="22"/>
        </w:rPr>
        <w:t xml:space="preserve"> </w:t>
      </w:r>
      <w:r w:rsidR="000C3A15" w:rsidRPr="0079773B">
        <w:rPr>
          <w:rFonts w:ascii="Calibri" w:hAnsi="Calibri" w:cs="Calibri"/>
          <w:sz w:val="22"/>
          <w:szCs w:val="22"/>
        </w:rPr>
        <w:t>T</w:t>
      </w:r>
      <w:r w:rsidR="00F15568">
        <w:rPr>
          <w:rFonts w:ascii="Calibri" w:hAnsi="Calibri" w:cs="Calibri"/>
          <w:sz w:val="22"/>
          <w:szCs w:val="22"/>
        </w:rPr>
        <w:t xml:space="preserve">hey </w:t>
      </w:r>
      <w:r>
        <w:rPr>
          <w:rFonts w:ascii="Calibri" w:hAnsi="Calibri" w:cs="Calibri"/>
          <w:sz w:val="22"/>
          <w:szCs w:val="22"/>
        </w:rPr>
        <w:t xml:space="preserve">generally </w:t>
      </w:r>
      <w:r w:rsidR="000C3A15" w:rsidRPr="0079773B">
        <w:rPr>
          <w:rFonts w:ascii="Calibri" w:hAnsi="Calibri" w:cs="Calibri"/>
          <w:sz w:val="22"/>
          <w:szCs w:val="22"/>
        </w:rPr>
        <w:t xml:space="preserve">assume economies are closed and not reflexively adaptive (i.e. – dynamic). To the contrary, rates markets are open systems subject to cross-border capital flows. For example, negative rates in Europe and Japan have </w:t>
      </w:r>
      <w:r w:rsidR="000C3A15" w:rsidRPr="0079773B">
        <w:rPr>
          <w:rFonts w:ascii="Calibri" w:hAnsi="Calibri" w:cs="Calibri"/>
          <w:sz w:val="22"/>
          <w:szCs w:val="22"/>
        </w:rPr>
        <w:lastRenderedPageBreak/>
        <w:t xml:space="preserve">important impacts on U.S. rates. </w:t>
      </w:r>
      <w:r w:rsidR="00F15568">
        <w:rPr>
          <w:rFonts w:ascii="Calibri" w:hAnsi="Calibri" w:cs="Calibri"/>
          <w:sz w:val="22"/>
          <w:szCs w:val="22"/>
        </w:rPr>
        <w:t>Figure 1</w:t>
      </w:r>
      <w:r w:rsidR="000C3A15" w:rsidRPr="0079773B">
        <w:rPr>
          <w:rFonts w:ascii="Calibri" w:hAnsi="Calibri" w:cs="Calibri"/>
          <w:sz w:val="22"/>
          <w:szCs w:val="22"/>
        </w:rPr>
        <w:t xml:space="preserve"> shows how the U.S. 10-year regresses against the Bund (the German 10-year). The repression of </w:t>
      </w:r>
      <w:proofErr w:type="gramStart"/>
      <w:r w:rsidR="000C3A15" w:rsidRPr="0079773B">
        <w:rPr>
          <w:rFonts w:ascii="Calibri" w:hAnsi="Calibri" w:cs="Calibri"/>
          <w:sz w:val="22"/>
          <w:szCs w:val="22"/>
        </w:rPr>
        <w:t>long-rates</w:t>
      </w:r>
      <w:proofErr w:type="gramEnd"/>
      <w:r w:rsidR="000C3A15" w:rsidRPr="0079773B">
        <w:rPr>
          <w:rFonts w:ascii="Calibri" w:hAnsi="Calibri" w:cs="Calibri"/>
          <w:sz w:val="22"/>
          <w:szCs w:val="22"/>
        </w:rPr>
        <w:t xml:space="preserve"> in those geographies has anchored rates here.</w:t>
      </w:r>
      <w:r w:rsidR="00F15568">
        <w:rPr>
          <w:rStyle w:val="FootnoteReference"/>
          <w:rFonts w:ascii="Calibri" w:hAnsi="Calibri" w:cs="Calibri"/>
          <w:sz w:val="22"/>
          <w:szCs w:val="22"/>
        </w:rPr>
        <w:footnoteReference w:id="5"/>
      </w:r>
      <w:r w:rsidR="000C3A15" w:rsidRPr="0079773B">
        <w:rPr>
          <w:rFonts w:ascii="Calibri" w:hAnsi="Calibri" w:cs="Calibri"/>
          <w:sz w:val="22"/>
          <w:szCs w:val="22"/>
        </w:rPr>
        <w:t xml:space="preserve"> </w:t>
      </w:r>
      <w:r w:rsidR="00CC1171">
        <w:rPr>
          <w:rFonts w:ascii="Calibri" w:hAnsi="Calibri" w:cs="Calibri"/>
          <w:sz w:val="22"/>
          <w:szCs w:val="22"/>
        </w:rPr>
        <w:t xml:space="preserve">Lastly, </w:t>
      </w:r>
      <w:r w:rsidR="000C3A15" w:rsidRPr="0079773B">
        <w:rPr>
          <w:rFonts w:ascii="Calibri" w:hAnsi="Calibri" w:cs="Calibri"/>
          <w:sz w:val="22"/>
          <w:szCs w:val="22"/>
        </w:rPr>
        <w:t xml:space="preserve">QE killed the traditional relationships between inflation and rates, and it also </w:t>
      </w:r>
      <w:r>
        <w:rPr>
          <w:rFonts w:ascii="Calibri" w:hAnsi="Calibri" w:cs="Calibri"/>
          <w:sz w:val="22"/>
          <w:szCs w:val="22"/>
        </w:rPr>
        <w:t>murdered</w:t>
      </w:r>
      <w:r w:rsidR="000C3A15" w:rsidRPr="0079773B">
        <w:rPr>
          <w:rFonts w:ascii="Calibri" w:hAnsi="Calibri" w:cs="Calibri"/>
          <w:sz w:val="22"/>
          <w:szCs w:val="22"/>
        </w:rPr>
        <w:t xml:space="preserve"> the Philips curve. </w:t>
      </w:r>
      <w:r w:rsidR="00CC1171">
        <w:rPr>
          <w:rFonts w:ascii="Calibri" w:hAnsi="Calibri" w:cs="Calibri"/>
          <w:sz w:val="22"/>
          <w:szCs w:val="22"/>
        </w:rPr>
        <w:t xml:space="preserve">In fact, QE has created the unintended consequence of overinvestment, overcapacity and </w:t>
      </w:r>
      <w:r w:rsidR="003F1306">
        <w:rPr>
          <w:rFonts w:ascii="Calibri" w:hAnsi="Calibri" w:cs="Calibri"/>
          <w:sz w:val="22"/>
          <w:szCs w:val="22"/>
        </w:rPr>
        <w:t xml:space="preserve">consequent </w:t>
      </w:r>
      <w:r w:rsidR="00CC1171">
        <w:rPr>
          <w:rFonts w:ascii="Calibri" w:hAnsi="Calibri" w:cs="Calibri"/>
          <w:sz w:val="22"/>
          <w:szCs w:val="22"/>
        </w:rPr>
        <w:t>lack of pricing power.</w:t>
      </w:r>
      <w:r w:rsidR="00F15568">
        <w:rPr>
          <w:rFonts w:ascii="Calibri" w:hAnsi="Calibri" w:cs="Calibri"/>
          <w:sz w:val="22"/>
          <w:szCs w:val="22"/>
        </w:rPr>
        <w:t xml:space="preserve"> Thus, </w:t>
      </w:r>
      <w:r w:rsidR="003F1306">
        <w:rPr>
          <w:rFonts w:ascii="Calibri" w:hAnsi="Calibri" w:cs="Calibri"/>
          <w:sz w:val="22"/>
          <w:szCs w:val="22"/>
        </w:rPr>
        <w:t xml:space="preserve">the low rates </w:t>
      </w:r>
      <w:r w:rsidR="00F15568">
        <w:rPr>
          <w:rFonts w:ascii="Calibri" w:hAnsi="Calibri" w:cs="Calibri"/>
          <w:sz w:val="22"/>
          <w:szCs w:val="22"/>
        </w:rPr>
        <w:t xml:space="preserve">QE </w:t>
      </w:r>
      <w:r w:rsidR="003F1306">
        <w:rPr>
          <w:rFonts w:ascii="Calibri" w:hAnsi="Calibri" w:cs="Calibri"/>
          <w:sz w:val="22"/>
          <w:szCs w:val="22"/>
        </w:rPr>
        <w:t xml:space="preserve">produced </w:t>
      </w:r>
      <w:r w:rsidR="00243E96">
        <w:rPr>
          <w:rFonts w:ascii="Calibri" w:hAnsi="Calibri" w:cs="Calibri"/>
          <w:sz w:val="22"/>
          <w:szCs w:val="22"/>
        </w:rPr>
        <w:t>have</w:t>
      </w:r>
      <w:r w:rsidR="00F15568">
        <w:rPr>
          <w:rFonts w:ascii="Calibri" w:hAnsi="Calibri" w:cs="Calibri"/>
          <w:sz w:val="22"/>
          <w:szCs w:val="22"/>
        </w:rPr>
        <w:t xml:space="preserve"> arguably caused the low inflation central banks intended it to cure. </w:t>
      </w:r>
    </w:p>
    <w:p w14:paraId="792C1B97" w14:textId="1CC02935" w:rsidR="00482B48" w:rsidRDefault="00482B48" w:rsidP="00D35F8A">
      <w:pPr>
        <w:pStyle w:val="xmsonormal"/>
        <w:shd w:val="clear" w:color="auto" w:fill="FFFFFF"/>
        <w:spacing w:before="0" w:beforeAutospacing="0" w:after="0" w:afterAutospacing="0"/>
        <w:jc w:val="both"/>
        <w:rPr>
          <w:rFonts w:ascii="Calibri" w:hAnsi="Calibri" w:cs="Calibri"/>
          <w:color w:val="000000"/>
          <w:sz w:val="22"/>
          <w:szCs w:val="22"/>
        </w:rPr>
      </w:pPr>
    </w:p>
    <w:p w14:paraId="610D64FE" w14:textId="41522C3C" w:rsidR="00F15568" w:rsidRPr="00BC423F" w:rsidRDefault="00F15568" w:rsidP="00F15568">
      <w:pPr>
        <w:pStyle w:val="xmsonormal"/>
        <w:shd w:val="clear" w:color="auto" w:fill="FFFFFF"/>
        <w:spacing w:before="0" w:beforeAutospacing="0" w:after="0" w:afterAutospacing="0"/>
        <w:jc w:val="both"/>
        <w:rPr>
          <w:rFonts w:ascii="Calibri" w:hAnsi="Calibri" w:cs="Calibri"/>
          <w:sz w:val="22"/>
          <w:szCs w:val="22"/>
        </w:rPr>
      </w:pPr>
      <w:r>
        <w:rPr>
          <w:rFonts w:ascii="Calibri" w:hAnsi="Calibri" w:cs="Calibri"/>
          <w:color w:val="000000"/>
          <w:sz w:val="22"/>
          <w:szCs w:val="22"/>
        </w:rPr>
        <w:t xml:space="preserve">The most extreme deployment of QE results in prolonged periods of negative </w:t>
      </w:r>
      <w:proofErr w:type="gramStart"/>
      <w:r>
        <w:rPr>
          <w:rFonts w:ascii="Calibri" w:hAnsi="Calibri" w:cs="Calibri"/>
          <w:color w:val="000000"/>
          <w:sz w:val="22"/>
          <w:szCs w:val="22"/>
        </w:rPr>
        <w:t>long-rates</w:t>
      </w:r>
      <w:proofErr w:type="gramEnd"/>
      <w:r>
        <w:rPr>
          <w:rFonts w:ascii="Calibri" w:hAnsi="Calibri" w:cs="Calibri"/>
          <w:color w:val="000000"/>
          <w:sz w:val="22"/>
          <w:szCs w:val="22"/>
        </w:rPr>
        <w:t>, as we currently observe in Europe and Japan. The concept of negative </w:t>
      </w:r>
      <w:r>
        <w:rPr>
          <w:rFonts w:ascii="Calibri" w:hAnsi="Calibri" w:cs="Calibri"/>
          <w:i/>
          <w:iCs/>
          <w:color w:val="000000"/>
          <w:sz w:val="22"/>
          <w:szCs w:val="22"/>
        </w:rPr>
        <w:t>real rates</w:t>
      </w:r>
      <w:r>
        <w:rPr>
          <w:rFonts w:ascii="Calibri" w:hAnsi="Calibri" w:cs="Calibri"/>
          <w:color w:val="000000"/>
          <w:sz w:val="22"/>
          <w:szCs w:val="22"/>
        </w:rPr>
        <w:t xml:space="preserve"> should not be offensive on its face. Negative real rates may occur when inflation exceeds the nominal interest rate. By the Fisher identity, nominal rates = real rates + inflation; thus, real rates = nominal rates – inflation. Real rates have gone negative in the past at various periods in time, and it is one reason why the Fed or other central banks have generally chosen to hike when inflation gets too high relative to the policy rate. Traditional theory holds that negative rates are inflationary. Proponents may argue that because </w:t>
      </w:r>
      <w:r w:rsidRPr="00BC423F">
        <w:rPr>
          <w:rFonts w:ascii="Calibri" w:hAnsi="Calibri" w:cs="Calibri"/>
          <w:sz w:val="22"/>
          <w:szCs w:val="22"/>
        </w:rPr>
        <w:t xml:space="preserve">negative real rates have historically required central banks to raise policy benchmarks to prevent inflation (as in the Volker era) that the converse is true. That is, they may argue that the use of negative rates </w:t>
      </w:r>
      <w:bookmarkStart w:id="1" w:name="x__ftnref5"/>
      <w:r w:rsidRPr="00C3408C">
        <w:rPr>
          <w:rFonts w:ascii="Calibri" w:hAnsi="Calibri" w:cs="Calibri"/>
          <w:i/>
          <w:sz w:val="22"/>
          <w:szCs w:val="22"/>
        </w:rPr>
        <w:t>now</w:t>
      </w:r>
      <w:r w:rsidRPr="00BC423F">
        <w:rPr>
          <w:rFonts w:ascii="Calibri" w:hAnsi="Calibri" w:cs="Calibri"/>
          <w:sz w:val="22"/>
          <w:szCs w:val="22"/>
        </w:rPr>
        <w:t xml:space="preserve"> will create inflation </w:t>
      </w:r>
      <w:r w:rsidRPr="00C3408C">
        <w:rPr>
          <w:rFonts w:ascii="Calibri" w:hAnsi="Calibri" w:cs="Calibri"/>
          <w:i/>
          <w:sz w:val="22"/>
          <w:szCs w:val="22"/>
        </w:rPr>
        <w:t>later</w:t>
      </w:r>
      <w:bookmarkEnd w:id="1"/>
      <w:r w:rsidRPr="00BC423F">
        <w:rPr>
          <w:rFonts w:ascii="Calibri" w:hAnsi="Calibri" w:cs="Calibri"/>
          <w:sz w:val="22"/>
          <w:szCs w:val="22"/>
        </w:rPr>
        <w:t>.  </w:t>
      </w:r>
      <w:r w:rsidR="001C42CD">
        <w:rPr>
          <w:rFonts w:ascii="Calibri" w:hAnsi="Calibri" w:cs="Calibri"/>
          <w:sz w:val="22"/>
          <w:szCs w:val="22"/>
        </w:rPr>
        <w:t xml:space="preserve">We disagree. </w:t>
      </w:r>
      <w:r w:rsidRPr="00BC423F">
        <w:rPr>
          <w:rFonts w:ascii="Calibri" w:hAnsi="Calibri" w:cs="Calibri"/>
          <w:sz w:val="22"/>
          <w:szCs w:val="22"/>
        </w:rPr>
        <w:t xml:space="preserve">Currently, in Germany, real rates = </w:t>
      </w:r>
      <w:r w:rsidR="00C3408C">
        <w:rPr>
          <w:rFonts w:ascii="Calibri" w:hAnsi="Calibri" w:cs="Calibri"/>
          <w:sz w:val="22"/>
          <w:szCs w:val="22"/>
        </w:rPr>
        <w:t>[</w:t>
      </w:r>
      <w:r w:rsidRPr="00BC423F">
        <w:rPr>
          <w:rFonts w:ascii="Calibri" w:hAnsi="Calibri" w:cs="Calibri"/>
          <w:sz w:val="22"/>
          <w:szCs w:val="22"/>
        </w:rPr>
        <w:t>-.3% - .9%</w:t>
      </w:r>
      <w:r w:rsidR="00C3408C">
        <w:rPr>
          <w:rFonts w:ascii="Calibri" w:hAnsi="Calibri" w:cs="Calibri"/>
          <w:sz w:val="22"/>
          <w:szCs w:val="22"/>
        </w:rPr>
        <w:t>]</w:t>
      </w:r>
      <w:r w:rsidRPr="00BC423F">
        <w:rPr>
          <w:rFonts w:ascii="Calibri" w:hAnsi="Calibri" w:cs="Calibri"/>
          <w:sz w:val="22"/>
          <w:szCs w:val="22"/>
        </w:rPr>
        <w:t xml:space="preserve"> = -1.1%. These deeply negative rates suggest that the ECB may be profoundly co</w:t>
      </w:r>
      <w:bookmarkStart w:id="2" w:name="x__ftnref6"/>
      <w:r w:rsidRPr="00BC423F">
        <w:rPr>
          <w:rFonts w:ascii="Calibri" w:hAnsi="Calibri" w:cs="Calibri"/>
          <w:sz w:val="22"/>
          <w:szCs w:val="22"/>
        </w:rPr>
        <w:t>ncerned about renewed deflation</w:t>
      </w:r>
      <w:r>
        <w:rPr>
          <w:rFonts w:ascii="Calibri" w:hAnsi="Calibri" w:cs="Calibri"/>
          <w:sz w:val="22"/>
          <w:szCs w:val="22"/>
        </w:rPr>
        <w:t xml:space="preserve"> – ironically, we believe their prescription is producing precisely the opposite of the desired result</w:t>
      </w:r>
      <w:r w:rsidRPr="00BC423F">
        <w:rPr>
          <w:rFonts w:ascii="Calibri" w:hAnsi="Calibri" w:cs="Calibri"/>
          <w:sz w:val="22"/>
          <w:szCs w:val="22"/>
        </w:rPr>
        <w:t>.</w:t>
      </w:r>
      <w:bookmarkEnd w:id="2"/>
      <w:r>
        <w:rPr>
          <w:rFonts w:ascii="Calibri" w:hAnsi="Calibri" w:cs="Calibri"/>
          <w:sz w:val="22"/>
          <w:szCs w:val="22"/>
        </w:rPr>
        <w:t xml:space="preserve"> </w:t>
      </w:r>
    </w:p>
    <w:p w14:paraId="12F9A409" w14:textId="30845DC0" w:rsidR="00F15568" w:rsidRPr="00655BEE" w:rsidRDefault="00F15568" w:rsidP="00D35F8A">
      <w:pPr>
        <w:pStyle w:val="xmsonormal"/>
        <w:shd w:val="clear" w:color="auto" w:fill="FFFFFF"/>
        <w:spacing w:before="0" w:beforeAutospacing="0" w:after="0" w:afterAutospacing="0"/>
        <w:jc w:val="both"/>
        <w:rPr>
          <w:rFonts w:asciiTheme="majorHAnsi" w:hAnsiTheme="majorHAnsi" w:cstheme="majorHAnsi"/>
          <w:i/>
          <w:color w:val="000000"/>
          <w:sz w:val="20"/>
          <w:szCs w:val="20"/>
        </w:rPr>
      </w:pPr>
    </w:p>
    <w:p w14:paraId="4C0653B6" w14:textId="2D4574A5" w:rsidR="002413FC" w:rsidRPr="00655BEE" w:rsidRDefault="002413FC" w:rsidP="00655BEE">
      <w:pPr>
        <w:pStyle w:val="xmsonormal"/>
        <w:keepNext/>
        <w:shd w:val="clear" w:color="auto" w:fill="FFFFFF"/>
        <w:spacing w:before="0" w:beforeAutospacing="0" w:after="0" w:afterAutospacing="0"/>
        <w:jc w:val="both"/>
        <w:rPr>
          <w:rFonts w:asciiTheme="majorHAnsi" w:hAnsiTheme="majorHAnsi" w:cstheme="majorHAnsi"/>
          <w:i/>
          <w:sz w:val="20"/>
          <w:szCs w:val="20"/>
        </w:rPr>
      </w:pPr>
      <w:r w:rsidRPr="00655BEE">
        <w:rPr>
          <w:rFonts w:asciiTheme="majorHAnsi" w:hAnsiTheme="majorHAnsi" w:cstheme="majorHAnsi"/>
          <w:i/>
          <w:noProof/>
          <w:sz w:val="20"/>
          <w:szCs w:val="20"/>
          <w:lang w:eastAsia="zh-CN"/>
        </w:rPr>
        <w:drawing>
          <wp:anchor distT="0" distB="0" distL="114300" distR="114300" simplePos="0" relativeHeight="251658240" behindDoc="0" locked="0" layoutInCell="1" allowOverlap="1" wp14:anchorId="31E96B86" wp14:editId="3A7ECA45">
            <wp:simplePos x="0" y="0"/>
            <wp:positionH relativeFrom="column">
              <wp:posOffset>0</wp:posOffset>
            </wp:positionH>
            <wp:positionV relativeFrom="paragraph">
              <wp:posOffset>-4031</wp:posOffset>
            </wp:positionV>
            <wp:extent cx="5852160" cy="2844800"/>
            <wp:effectExtent l="0" t="0" r="0" b="0"/>
            <wp:wrapSquare wrapText="bothSides"/>
            <wp:docPr id="1026"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BEE" w:rsidRPr="00655BEE">
        <w:rPr>
          <w:rFonts w:asciiTheme="majorHAnsi" w:hAnsiTheme="majorHAnsi" w:cstheme="majorHAnsi"/>
          <w:i/>
          <w:sz w:val="20"/>
          <w:szCs w:val="20"/>
        </w:rPr>
        <w:t xml:space="preserve">Figure </w:t>
      </w:r>
      <w:r w:rsidR="00655BEE" w:rsidRPr="00655BEE">
        <w:rPr>
          <w:rFonts w:asciiTheme="majorHAnsi" w:hAnsiTheme="majorHAnsi" w:cstheme="majorHAnsi"/>
          <w:i/>
          <w:sz w:val="20"/>
          <w:szCs w:val="20"/>
        </w:rPr>
        <w:fldChar w:fldCharType="begin"/>
      </w:r>
      <w:r w:rsidR="00655BEE" w:rsidRPr="00655BEE">
        <w:rPr>
          <w:rFonts w:asciiTheme="majorHAnsi" w:hAnsiTheme="majorHAnsi" w:cstheme="majorHAnsi"/>
          <w:i/>
          <w:sz w:val="20"/>
          <w:szCs w:val="20"/>
        </w:rPr>
        <w:instrText xml:space="preserve"> SEQ Figure \* ARABIC </w:instrText>
      </w:r>
      <w:r w:rsidR="00655BEE" w:rsidRPr="00655BEE">
        <w:rPr>
          <w:rFonts w:asciiTheme="majorHAnsi" w:hAnsiTheme="majorHAnsi" w:cstheme="majorHAnsi"/>
          <w:i/>
          <w:sz w:val="20"/>
          <w:szCs w:val="20"/>
        </w:rPr>
        <w:fldChar w:fldCharType="separate"/>
      </w:r>
      <w:r w:rsidR="00243E96">
        <w:rPr>
          <w:rFonts w:asciiTheme="majorHAnsi" w:hAnsiTheme="majorHAnsi" w:cstheme="majorHAnsi"/>
          <w:i/>
          <w:noProof/>
          <w:sz w:val="20"/>
          <w:szCs w:val="20"/>
        </w:rPr>
        <w:t>1</w:t>
      </w:r>
      <w:r w:rsidR="00655BEE" w:rsidRPr="00655BEE">
        <w:rPr>
          <w:rFonts w:asciiTheme="majorHAnsi" w:hAnsiTheme="majorHAnsi" w:cstheme="majorHAnsi"/>
          <w:i/>
          <w:sz w:val="20"/>
          <w:szCs w:val="20"/>
        </w:rPr>
        <w:fldChar w:fldCharType="end"/>
      </w:r>
      <w:r w:rsidR="00655BEE" w:rsidRPr="00655BEE">
        <w:rPr>
          <w:rFonts w:asciiTheme="majorHAnsi" w:hAnsiTheme="majorHAnsi" w:cstheme="majorHAnsi"/>
          <w:i/>
          <w:sz w:val="20"/>
          <w:szCs w:val="20"/>
        </w:rPr>
        <w:t>: Bunds Regressed against U.S. 10-year</w:t>
      </w:r>
    </w:p>
    <w:p w14:paraId="66F4E156" w14:textId="77777777" w:rsidR="002413FC" w:rsidRDefault="002413FC" w:rsidP="000F6728">
      <w:pPr>
        <w:pStyle w:val="xmsonormal"/>
        <w:shd w:val="clear" w:color="auto" w:fill="FFFFFF"/>
        <w:spacing w:before="0" w:beforeAutospacing="0" w:after="0" w:afterAutospacing="0"/>
        <w:jc w:val="both"/>
        <w:rPr>
          <w:rFonts w:ascii="Calibri" w:hAnsi="Calibri" w:cs="Calibri"/>
          <w:color w:val="000000"/>
          <w:sz w:val="22"/>
          <w:szCs w:val="22"/>
        </w:rPr>
      </w:pPr>
    </w:p>
    <w:p w14:paraId="310F6E1F" w14:textId="4C65BB63" w:rsidR="00646B18" w:rsidRDefault="003F1306" w:rsidP="000F6728">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While exacerbated by the trade war, the slowdowns in Europe and Japan are largely structural. If negative rates in the developed world outside the U.S. – especially long-rates – remain pervasive, the bid for U.S. duration should continue. We think low growth </w:t>
      </w:r>
      <w:r w:rsidR="001C42CD">
        <w:rPr>
          <w:rFonts w:ascii="Calibri" w:hAnsi="Calibri" w:cs="Calibri"/>
          <w:color w:val="000000"/>
          <w:sz w:val="22"/>
          <w:szCs w:val="22"/>
        </w:rPr>
        <w:t>and the potential for capital loss will require persistently low rates</w:t>
      </w:r>
      <w:r>
        <w:rPr>
          <w:rFonts w:ascii="Calibri" w:hAnsi="Calibri" w:cs="Calibri"/>
          <w:color w:val="000000"/>
          <w:sz w:val="22"/>
          <w:szCs w:val="22"/>
        </w:rPr>
        <w:t xml:space="preserve">. Therefore, it is our view that long rates in Europe and Japan will continue to anchor U.S. long-rates, which will trend towards zero longer-term. Over the next three to six months, we forecast the U.S. </w:t>
      </w:r>
      <w:r>
        <w:rPr>
          <w:rFonts w:ascii="Calibri" w:hAnsi="Calibri" w:cs="Calibri"/>
          <w:color w:val="000000"/>
          <w:sz w:val="22"/>
          <w:szCs w:val="22"/>
        </w:rPr>
        <w:lastRenderedPageBreak/>
        <w:t>10</w:t>
      </w:r>
      <w:bookmarkStart w:id="3" w:name="x__ftnref2"/>
      <w:r>
        <w:rPr>
          <w:rFonts w:ascii="Calibri" w:hAnsi="Calibri" w:cs="Calibri"/>
          <w:color w:val="000000"/>
          <w:sz w:val="22"/>
          <w:szCs w:val="22"/>
        </w:rPr>
        <w:t>-year yield will approach 1.25%.</w:t>
      </w:r>
      <w:bookmarkEnd w:id="3"/>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This likely coaxes the Fed to cut the funds rate more aggressively in 2020, as it will desire to prevent a prolonged yield curve inversion and its impact on banks. We doubt that nominal U.S. rates ever go negative as there appears to be resistance within the Fed, but we posit that real rates most certainly will. Indeed, i</w:t>
      </w:r>
      <w:r w:rsidR="00D92627">
        <w:rPr>
          <w:rFonts w:ascii="Calibri" w:hAnsi="Calibri" w:cs="Calibri"/>
          <w:color w:val="000000"/>
          <w:sz w:val="22"/>
          <w:szCs w:val="22"/>
        </w:rPr>
        <w:t>t seems as if</w:t>
      </w:r>
      <w:r w:rsidR="00DC46E4">
        <w:rPr>
          <w:rFonts w:ascii="Calibri" w:hAnsi="Calibri" w:cs="Calibri"/>
          <w:color w:val="000000"/>
          <w:sz w:val="22"/>
          <w:szCs w:val="22"/>
        </w:rPr>
        <w:t xml:space="preserve"> a Lagarde ECB might</w:t>
      </w:r>
      <w:r w:rsidR="00887570">
        <w:rPr>
          <w:rFonts w:ascii="Calibri" w:hAnsi="Calibri" w:cs="Calibri"/>
          <w:color w:val="000000"/>
          <w:sz w:val="22"/>
          <w:szCs w:val="22"/>
        </w:rPr>
        <w:t xml:space="preserve"> not </w:t>
      </w:r>
      <w:r w:rsidR="00DC46E4">
        <w:rPr>
          <w:rFonts w:ascii="Calibri" w:hAnsi="Calibri" w:cs="Calibri"/>
          <w:color w:val="000000"/>
          <w:sz w:val="22"/>
          <w:szCs w:val="22"/>
        </w:rPr>
        <w:t xml:space="preserve">be </w:t>
      </w:r>
      <w:r w:rsidR="00D92627">
        <w:rPr>
          <w:rFonts w:ascii="Calibri" w:hAnsi="Calibri" w:cs="Calibri"/>
          <w:color w:val="000000"/>
          <w:sz w:val="22"/>
          <w:szCs w:val="22"/>
        </w:rPr>
        <w:t xml:space="preserve">quite </w:t>
      </w:r>
      <w:r w:rsidR="00887570">
        <w:rPr>
          <w:rFonts w:ascii="Calibri" w:hAnsi="Calibri" w:cs="Calibri"/>
          <w:color w:val="000000"/>
          <w:sz w:val="22"/>
          <w:szCs w:val="22"/>
        </w:rPr>
        <w:t xml:space="preserve">as committed to negative rates as a Draghi ECB, </w:t>
      </w:r>
      <w:r w:rsidR="00D92627">
        <w:rPr>
          <w:rFonts w:ascii="Calibri" w:hAnsi="Calibri" w:cs="Calibri"/>
          <w:color w:val="000000"/>
          <w:sz w:val="22"/>
          <w:szCs w:val="22"/>
        </w:rPr>
        <w:t>but she</w:t>
      </w:r>
      <w:r w:rsidR="002413FC">
        <w:rPr>
          <w:rFonts w:ascii="Calibri" w:hAnsi="Calibri" w:cs="Calibri"/>
          <w:color w:val="000000"/>
          <w:sz w:val="22"/>
          <w:szCs w:val="22"/>
        </w:rPr>
        <w:t xml:space="preserve"> </w:t>
      </w:r>
      <w:r w:rsidR="00887570">
        <w:rPr>
          <w:rFonts w:ascii="Calibri" w:hAnsi="Calibri" w:cs="Calibri"/>
          <w:color w:val="000000"/>
          <w:sz w:val="22"/>
          <w:szCs w:val="22"/>
        </w:rPr>
        <w:t>may have no choice but to force rates more negative given the capital loss that less negative rates will create.</w:t>
      </w:r>
      <w:r w:rsidR="00DC46E4" w:rsidRPr="00DC46E4">
        <w:rPr>
          <w:rStyle w:val="FootnoteReference"/>
          <w:rFonts w:ascii="Calibri" w:hAnsi="Calibri" w:cs="Calibri"/>
          <w:color w:val="000000"/>
          <w:sz w:val="22"/>
          <w:szCs w:val="22"/>
        </w:rPr>
        <w:t xml:space="preserve"> </w:t>
      </w:r>
      <w:r w:rsidR="00DC46E4">
        <w:rPr>
          <w:rStyle w:val="FootnoteReference"/>
          <w:rFonts w:ascii="Calibri" w:hAnsi="Calibri" w:cs="Calibri"/>
          <w:color w:val="000000"/>
          <w:sz w:val="22"/>
          <w:szCs w:val="22"/>
        </w:rPr>
        <w:footnoteReference w:id="7"/>
      </w:r>
      <w:r w:rsidR="00887570">
        <w:rPr>
          <w:rFonts w:ascii="Calibri" w:hAnsi="Calibri" w:cs="Calibri"/>
          <w:color w:val="000000"/>
          <w:sz w:val="22"/>
          <w:szCs w:val="22"/>
        </w:rPr>
        <w:t xml:space="preserve"> </w:t>
      </w:r>
    </w:p>
    <w:p w14:paraId="2C7DF5F7" w14:textId="77777777" w:rsidR="000C3A15" w:rsidRDefault="000C3A15" w:rsidP="00B233A6">
      <w:pPr>
        <w:pStyle w:val="xmsonormal"/>
        <w:shd w:val="clear" w:color="auto" w:fill="FFFFFF"/>
        <w:spacing w:before="0" w:beforeAutospacing="0" w:after="0" w:afterAutospacing="0"/>
        <w:jc w:val="both"/>
        <w:rPr>
          <w:rFonts w:ascii="Calibri" w:hAnsi="Calibri" w:cs="Calibri"/>
          <w:sz w:val="22"/>
          <w:szCs w:val="22"/>
        </w:rPr>
      </w:pPr>
    </w:p>
    <w:p w14:paraId="231DB835" w14:textId="1C5034C0" w:rsidR="002413FC" w:rsidRPr="002413FC" w:rsidRDefault="0001527C" w:rsidP="00D13142">
      <w:pPr>
        <w:pStyle w:val="xmsonormal"/>
        <w:shd w:val="clear" w:color="auto" w:fill="FFFFFF"/>
        <w:spacing w:before="0" w:beforeAutospacing="0" w:after="0" w:afterAutospacing="0"/>
        <w:jc w:val="both"/>
        <w:rPr>
          <w:rFonts w:ascii="Calibri" w:hAnsi="Calibri" w:cs="Calibri"/>
          <w:b/>
          <w:color w:val="000000"/>
          <w:sz w:val="22"/>
          <w:szCs w:val="22"/>
        </w:rPr>
      </w:pPr>
      <w:r>
        <w:rPr>
          <w:rFonts w:ascii="Calibri" w:hAnsi="Calibri" w:cs="Calibri"/>
          <w:b/>
          <w:color w:val="000000"/>
          <w:sz w:val="22"/>
          <w:szCs w:val="22"/>
        </w:rPr>
        <w:t>Trapped</w:t>
      </w:r>
    </w:p>
    <w:p w14:paraId="4DB21DA8" w14:textId="19D1B1A7" w:rsidR="002413FC" w:rsidRDefault="002413FC" w:rsidP="00D13142">
      <w:pPr>
        <w:pStyle w:val="xmsonormal"/>
        <w:shd w:val="clear" w:color="auto" w:fill="FFFFFF"/>
        <w:spacing w:before="0" w:beforeAutospacing="0" w:after="0" w:afterAutospacing="0"/>
        <w:jc w:val="both"/>
        <w:rPr>
          <w:rFonts w:ascii="Calibri" w:hAnsi="Calibri" w:cs="Calibri"/>
          <w:color w:val="000000"/>
          <w:sz w:val="22"/>
          <w:szCs w:val="22"/>
        </w:rPr>
      </w:pPr>
    </w:p>
    <w:p w14:paraId="10769EC8" w14:textId="59374608" w:rsidR="00F17AEB" w:rsidRDefault="00E20523" w:rsidP="00E20523">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We believe QE has created an addiction to more QE (in both low-rate and negative-rate economies). Negative rates</w:t>
      </w:r>
      <w:proofErr w:type="gramStart"/>
      <w:r>
        <w:rPr>
          <w:rFonts w:ascii="Calibri" w:hAnsi="Calibri" w:cs="Calibri"/>
          <w:color w:val="000000"/>
          <w:sz w:val="22"/>
          <w:szCs w:val="22"/>
        </w:rPr>
        <w:t>, in particular, necessitate</w:t>
      </w:r>
      <w:proofErr w:type="gramEnd"/>
      <w:r>
        <w:rPr>
          <w:rFonts w:ascii="Calibri" w:hAnsi="Calibri" w:cs="Calibri"/>
          <w:color w:val="000000"/>
          <w:sz w:val="22"/>
          <w:szCs w:val="22"/>
        </w:rPr>
        <w:t xml:space="preserve"> yet more negative rates; they lock central banks and the economies they serve into a </w:t>
      </w:r>
      <w:r>
        <w:rPr>
          <w:rFonts w:ascii="Calibri" w:hAnsi="Calibri" w:cs="Calibri"/>
          <w:i/>
          <w:iCs/>
          <w:color w:val="000000"/>
          <w:sz w:val="22"/>
          <w:szCs w:val="22"/>
        </w:rPr>
        <w:t>cycle of addiction</w:t>
      </w:r>
      <w:r>
        <w:rPr>
          <w:rFonts w:ascii="Calibri" w:hAnsi="Calibri" w:cs="Calibri"/>
          <w:color w:val="000000"/>
          <w:sz w:val="22"/>
          <w:szCs w:val="22"/>
        </w:rPr>
        <w:t> to negative rate policies.</w:t>
      </w:r>
      <w:r>
        <w:rPr>
          <w:rStyle w:val="FootnoteReference"/>
          <w:rFonts w:ascii="Calibri" w:hAnsi="Calibri" w:cs="Calibri"/>
          <w:color w:val="000000"/>
          <w:sz w:val="22"/>
          <w:szCs w:val="22"/>
        </w:rPr>
        <w:footnoteReference w:id="8"/>
      </w:r>
      <w:r>
        <w:rPr>
          <w:rFonts w:ascii="Calibri" w:hAnsi="Calibri" w:cs="Calibri"/>
          <w:color w:val="000000"/>
          <w:sz w:val="22"/>
          <w:szCs w:val="22"/>
        </w:rPr>
        <w:t xml:space="preserve"> An addiction to low or negative rates can occur for several reasons.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 firm to invest in a new project, it must believe that low or negative rates will be persistent enough to limit refinancing risk. In the extreme example of negatively yielding debt, holders must also believe that rates will become more negative because they own these securities for capital appreciation rather than yield! </w:t>
      </w:r>
      <w:r w:rsidR="003F1306">
        <w:rPr>
          <w:rFonts w:ascii="Calibri" w:hAnsi="Calibri" w:cs="Calibri"/>
          <w:color w:val="000000"/>
          <w:sz w:val="22"/>
          <w:szCs w:val="22"/>
        </w:rPr>
        <w:t xml:space="preserve">Europe exemplifies this problem. </w:t>
      </w:r>
      <w:r>
        <w:rPr>
          <w:rFonts w:ascii="Calibri" w:hAnsi="Calibri" w:cs="Calibri"/>
          <w:color w:val="000000"/>
          <w:sz w:val="22"/>
          <w:szCs w:val="22"/>
        </w:rPr>
        <w:t>These two behaviors are how the addiction to low rates forms.</w:t>
      </w:r>
    </w:p>
    <w:p w14:paraId="1C991C80" w14:textId="77777777" w:rsidR="00E20523" w:rsidRDefault="00E20523" w:rsidP="00D13142">
      <w:pPr>
        <w:pStyle w:val="xmsonormal"/>
        <w:shd w:val="clear" w:color="auto" w:fill="FFFFFF"/>
        <w:spacing w:before="0" w:beforeAutospacing="0" w:after="0" w:afterAutospacing="0"/>
        <w:jc w:val="both"/>
        <w:rPr>
          <w:rFonts w:ascii="Calibri" w:hAnsi="Calibri" w:cs="Calibri"/>
          <w:color w:val="000000"/>
          <w:sz w:val="22"/>
          <w:szCs w:val="22"/>
        </w:rPr>
      </w:pPr>
    </w:p>
    <w:p w14:paraId="4EFF9A29" w14:textId="1BAD7861" w:rsidR="00D13142" w:rsidRDefault="00D13142" w:rsidP="00D13142">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Negative rates </w:t>
      </w:r>
      <w:r w:rsidR="002413FC">
        <w:rPr>
          <w:rFonts w:ascii="Calibri" w:hAnsi="Calibri" w:cs="Calibri"/>
          <w:color w:val="000000"/>
          <w:sz w:val="22"/>
          <w:szCs w:val="22"/>
        </w:rPr>
        <w:t xml:space="preserve">(whether real or nominal) </w:t>
      </w:r>
      <w:r>
        <w:rPr>
          <w:rFonts w:ascii="Calibri" w:hAnsi="Calibri" w:cs="Calibri"/>
          <w:color w:val="000000"/>
          <w:sz w:val="22"/>
          <w:szCs w:val="22"/>
        </w:rPr>
        <w:t>are effectively a tax on capi</w:t>
      </w:r>
      <w:r w:rsidR="002413FC">
        <w:rPr>
          <w:rFonts w:ascii="Calibri" w:hAnsi="Calibri" w:cs="Calibri"/>
          <w:color w:val="000000"/>
          <w:sz w:val="22"/>
          <w:szCs w:val="22"/>
        </w:rPr>
        <w:t xml:space="preserve">tal providers – i.e. on savers. Capital providers that should receive a return </w:t>
      </w:r>
      <w:r w:rsidR="00E20523">
        <w:rPr>
          <w:rFonts w:ascii="Calibri" w:hAnsi="Calibri" w:cs="Calibri"/>
          <w:color w:val="000000"/>
          <w:sz w:val="22"/>
          <w:szCs w:val="22"/>
        </w:rPr>
        <w:t xml:space="preserve">for the privilege of a borrower providing stewardship of their capital are instead charged for it. </w:t>
      </w:r>
      <w:r>
        <w:rPr>
          <w:rFonts w:ascii="Calibri" w:hAnsi="Calibri" w:cs="Calibri"/>
          <w:color w:val="000000"/>
          <w:sz w:val="22"/>
          <w:szCs w:val="22"/>
        </w:rPr>
        <w:t xml:space="preserve">This tax creates unintended consequences and incentives, just as fiscal tax policy often does. Indeed, we’d go a step further and suggest that </w:t>
      </w:r>
      <w:r w:rsidR="00E20523">
        <w:rPr>
          <w:rFonts w:ascii="Calibri" w:hAnsi="Calibri" w:cs="Calibri"/>
          <w:color w:val="000000"/>
          <w:sz w:val="22"/>
          <w:szCs w:val="22"/>
        </w:rPr>
        <w:t xml:space="preserve">negative rates are social </w:t>
      </w:r>
      <w:r>
        <w:rPr>
          <w:rFonts w:ascii="Calibri" w:hAnsi="Calibri" w:cs="Calibri"/>
          <w:color w:val="000000"/>
          <w:sz w:val="22"/>
          <w:szCs w:val="22"/>
        </w:rPr>
        <w:t>policy clothed in the guise of monetary policy. Rates policy wasn’t always this way, but the world is here now and the voting public ought to pay as much attention to it as it does to fiscal policy. Democracies are based on the idea that a country’s citizens should determine a government’s decisions</w:t>
      </w:r>
      <w:r w:rsidR="00E20523">
        <w:rPr>
          <w:rFonts w:ascii="Calibri" w:hAnsi="Calibri" w:cs="Calibri"/>
          <w:color w:val="000000"/>
          <w:sz w:val="22"/>
          <w:szCs w:val="22"/>
        </w:rPr>
        <w:t xml:space="preserve"> to tax, </w:t>
      </w:r>
      <w:r>
        <w:rPr>
          <w:rFonts w:ascii="Calibri" w:hAnsi="Calibri" w:cs="Calibri"/>
          <w:color w:val="000000"/>
          <w:sz w:val="22"/>
          <w:szCs w:val="22"/>
        </w:rPr>
        <w:t>spend</w:t>
      </w:r>
      <w:r w:rsidR="00E20523">
        <w:rPr>
          <w:rFonts w:ascii="Calibri" w:hAnsi="Calibri" w:cs="Calibri"/>
          <w:color w:val="000000"/>
          <w:sz w:val="22"/>
          <w:szCs w:val="22"/>
        </w:rPr>
        <w:t xml:space="preserve"> and redistribute wealth</w:t>
      </w:r>
      <w:r>
        <w:rPr>
          <w:rFonts w:ascii="Calibri" w:hAnsi="Calibri" w:cs="Calibri"/>
          <w:color w:val="000000"/>
          <w:sz w:val="22"/>
          <w:szCs w:val="22"/>
        </w:rPr>
        <w:t>. Monetary policy has no such constraints, ye</w:t>
      </w:r>
      <w:r w:rsidR="00E20523">
        <w:rPr>
          <w:rFonts w:ascii="Calibri" w:hAnsi="Calibri" w:cs="Calibri"/>
          <w:color w:val="000000"/>
          <w:sz w:val="22"/>
          <w:szCs w:val="22"/>
        </w:rPr>
        <w:t>t it has similar consequences for</w:t>
      </w:r>
      <w:r>
        <w:rPr>
          <w:rFonts w:ascii="Calibri" w:hAnsi="Calibri" w:cs="Calibri"/>
          <w:color w:val="000000"/>
          <w:sz w:val="22"/>
          <w:szCs w:val="22"/>
        </w:rPr>
        <w:t xml:space="preserve"> the redistribution of wealth</w:t>
      </w:r>
      <w:r w:rsidR="00F17AEB">
        <w:rPr>
          <w:rFonts w:ascii="Calibri" w:hAnsi="Calibri" w:cs="Calibri"/>
          <w:color w:val="000000"/>
          <w:sz w:val="22"/>
          <w:szCs w:val="22"/>
        </w:rPr>
        <w:t xml:space="preserve"> from savers to consumers</w:t>
      </w:r>
      <w:r>
        <w:rPr>
          <w:rFonts w:ascii="Calibri" w:hAnsi="Calibri" w:cs="Calibri"/>
          <w:color w:val="000000"/>
          <w:sz w:val="22"/>
          <w:szCs w:val="22"/>
        </w:rPr>
        <w:t>.</w:t>
      </w:r>
    </w:p>
    <w:p w14:paraId="65F6D904" w14:textId="77777777" w:rsidR="00D13142" w:rsidRDefault="00D13142" w:rsidP="000F6728">
      <w:pPr>
        <w:pStyle w:val="xmsonormal"/>
        <w:shd w:val="clear" w:color="auto" w:fill="FFFFFF"/>
        <w:spacing w:before="0" w:beforeAutospacing="0" w:after="0" w:afterAutospacing="0"/>
        <w:jc w:val="both"/>
        <w:rPr>
          <w:rFonts w:ascii="Calibri" w:hAnsi="Calibri" w:cs="Calibri"/>
          <w:color w:val="000000"/>
          <w:sz w:val="22"/>
          <w:szCs w:val="22"/>
        </w:rPr>
      </w:pPr>
    </w:p>
    <w:p w14:paraId="17987DEF" w14:textId="0F8EA72E" w:rsidR="00D13142" w:rsidRDefault="00887570" w:rsidP="000F6728">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The costs of</w:t>
      </w:r>
      <w:r w:rsidR="00E20523">
        <w:rPr>
          <w:rFonts w:ascii="Calibri" w:hAnsi="Calibri" w:cs="Calibri"/>
          <w:color w:val="000000"/>
          <w:sz w:val="22"/>
          <w:szCs w:val="22"/>
        </w:rPr>
        <w:t xml:space="preserve"> persistently low or</w:t>
      </w:r>
      <w:r>
        <w:rPr>
          <w:rFonts w:ascii="Calibri" w:hAnsi="Calibri" w:cs="Calibri"/>
          <w:color w:val="000000"/>
          <w:sz w:val="22"/>
          <w:szCs w:val="22"/>
        </w:rPr>
        <w:t xml:space="preserve"> negative rates may ultimately be far too high</w:t>
      </w:r>
      <w:r w:rsidR="00646B18">
        <w:rPr>
          <w:rFonts w:ascii="Calibri" w:hAnsi="Calibri" w:cs="Calibri"/>
          <w:color w:val="000000"/>
          <w:sz w:val="22"/>
          <w:szCs w:val="22"/>
        </w:rPr>
        <w:t xml:space="preserve">. </w:t>
      </w:r>
      <w:r w:rsidR="00AC090B">
        <w:rPr>
          <w:rFonts w:ascii="Calibri" w:hAnsi="Calibri" w:cs="Calibri"/>
          <w:color w:val="000000"/>
          <w:sz w:val="22"/>
          <w:szCs w:val="22"/>
        </w:rPr>
        <w:t>For firms, t</w:t>
      </w:r>
      <w:r>
        <w:rPr>
          <w:rFonts w:ascii="Calibri" w:hAnsi="Calibri" w:cs="Calibri"/>
          <w:color w:val="000000"/>
          <w:sz w:val="22"/>
          <w:szCs w:val="22"/>
        </w:rPr>
        <w:t>hey promote inefficient capital allocation decisions</w:t>
      </w:r>
      <w:r w:rsidR="00646B18">
        <w:rPr>
          <w:rFonts w:ascii="Calibri" w:hAnsi="Calibri" w:cs="Calibri"/>
          <w:color w:val="000000"/>
          <w:sz w:val="22"/>
          <w:szCs w:val="22"/>
        </w:rPr>
        <w:t xml:space="preserve"> - specifically, </w:t>
      </w:r>
      <w:r w:rsidR="00E20523">
        <w:rPr>
          <w:rFonts w:ascii="Calibri" w:hAnsi="Calibri" w:cs="Calibri"/>
          <w:color w:val="000000"/>
          <w:sz w:val="22"/>
          <w:szCs w:val="22"/>
        </w:rPr>
        <w:t xml:space="preserve">they lead to </w:t>
      </w:r>
      <w:r w:rsidR="00F61CF4">
        <w:rPr>
          <w:rFonts w:ascii="Calibri" w:hAnsi="Calibri" w:cs="Calibri"/>
          <w:color w:val="000000"/>
          <w:sz w:val="22"/>
          <w:szCs w:val="22"/>
        </w:rPr>
        <w:t>overinvestment</w:t>
      </w:r>
      <w:r>
        <w:rPr>
          <w:rFonts w:ascii="Calibri" w:hAnsi="Calibri" w:cs="Calibri"/>
          <w:color w:val="000000"/>
          <w:sz w:val="22"/>
          <w:szCs w:val="22"/>
        </w:rPr>
        <w:t xml:space="preserve">. </w:t>
      </w:r>
      <w:r w:rsidR="0079773B">
        <w:rPr>
          <w:rFonts w:ascii="Calibri" w:hAnsi="Calibri" w:cs="Calibri"/>
          <w:color w:val="000000"/>
          <w:sz w:val="22"/>
          <w:szCs w:val="22"/>
        </w:rPr>
        <w:t xml:space="preserve">Importantly, QE distorts perceptions about what rates of return an investment must produce over the long-term. For context, </w:t>
      </w:r>
      <w:r w:rsidR="00646B18">
        <w:rPr>
          <w:rFonts w:ascii="Calibri" w:hAnsi="Calibri" w:cs="Calibri"/>
          <w:color w:val="000000"/>
          <w:sz w:val="22"/>
          <w:szCs w:val="22"/>
        </w:rPr>
        <w:t>T</w:t>
      </w:r>
      <w:r w:rsidR="0079773B">
        <w:rPr>
          <w:rFonts w:ascii="Calibri" w:hAnsi="Calibri" w:cs="Calibri"/>
          <w:color w:val="000000"/>
          <w:sz w:val="22"/>
          <w:szCs w:val="22"/>
        </w:rPr>
        <w:t xml:space="preserve">OMOs distorted (lowered) capital costs for only short duration </w:t>
      </w:r>
      <w:r w:rsidR="00646B18">
        <w:rPr>
          <w:rFonts w:ascii="Calibri" w:hAnsi="Calibri" w:cs="Calibri"/>
          <w:color w:val="000000"/>
          <w:sz w:val="22"/>
          <w:szCs w:val="22"/>
        </w:rPr>
        <w:t>bonds</w:t>
      </w:r>
      <w:r w:rsidR="0079773B">
        <w:rPr>
          <w:rFonts w:ascii="Calibri" w:hAnsi="Calibri" w:cs="Calibri"/>
          <w:color w:val="000000"/>
          <w:sz w:val="22"/>
          <w:szCs w:val="22"/>
        </w:rPr>
        <w:t xml:space="preserve">. Therefore, the impact of lower short-rates was </w:t>
      </w:r>
      <w:r w:rsidR="003F1306">
        <w:rPr>
          <w:rFonts w:ascii="Calibri" w:hAnsi="Calibri" w:cs="Calibri"/>
          <w:color w:val="000000"/>
          <w:sz w:val="22"/>
          <w:szCs w:val="22"/>
        </w:rPr>
        <w:t xml:space="preserve">mostly </w:t>
      </w:r>
      <w:r w:rsidR="0079773B">
        <w:rPr>
          <w:rFonts w:ascii="Calibri" w:hAnsi="Calibri" w:cs="Calibri"/>
          <w:color w:val="000000"/>
          <w:sz w:val="22"/>
          <w:szCs w:val="22"/>
        </w:rPr>
        <w:t>to create a pull forward in demand (i.e. – an intertemporal demand impact)</w:t>
      </w:r>
      <w:r w:rsidR="003F1306">
        <w:rPr>
          <w:rFonts w:ascii="Calibri" w:hAnsi="Calibri" w:cs="Calibri"/>
          <w:color w:val="000000"/>
          <w:sz w:val="22"/>
          <w:szCs w:val="22"/>
        </w:rPr>
        <w:t xml:space="preserve"> with only minimal impact on firms’ long-term investment decisions</w:t>
      </w:r>
      <w:r w:rsidR="0079773B">
        <w:rPr>
          <w:rFonts w:ascii="Calibri" w:hAnsi="Calibri" w:cs="Calibri"/>
          <w:color w:val="000000"/>
          <w:sz w:val="22"/>
          <w:szCs w:val="22"/>
        </w:rPr>
        <w:t xml:space="preserve">. </w:t>
      </w:r>
      <w:r w:rsidR="003F1306">
        <w:rPr>
          <w:rFonts w:ascii="Calibri" w:hAnsi="Calibri" w:cs="Calibri"/>
          <w:color w:val="000000"/>
          <w:sz w:val="22"/>
          <w:szCs w:val="22"/>
        </w:rPr>
        <w:t>As</w:t>
      </w:r>
      <w:r w:rsidR="0079773B">
        <w:rPr>
          <w:rFonts w:ascii="Calibri" w:hAnsi="Calibri" w:cs="Calibri"/>
          <w:color w:val="000000"/>
          <w:sz w:val="22"/>
          <w:szCs w:val="22"/>
        </w:rPr>
        <w:t xml:space="preserve"> </w:t>
      </w:r>
      <w:r w:rsidR="00E20523">
        <w:rPr>
          <w:rFonts w:ascii="Calibri" w:hAnsi="Calibri" w:cs="Calibri"/>
          <w:color w:val="000000"/>
          <w:sz w:val="22"/>
          <w:szCs w:val="22"/>
        </w:rPr>
        <w:t xml:space="preserve">POMOs suppress </w:t>
      </w:r>
      <w:r w:rsidR="0079773B">
        <w:rPr>
          <w:rFonts w:ascii="Calibri" w:hAnsi="Calibri" w:cs="Calibri"/>
          <w:color w:val="000000"/>
          <w:sz w:val="22"/>
          <w:szCs w:val="22"/>
        </w:rPr>
        <w:t xml:space="preserve">term premia, the impact is </w:t>
      </w:r>
      <w:r w:rsidR="00646B18">
        <w:rPr>
          <w:rFonts w:ascii="Calibri" w:hAnsi="Calibri" w:cs="Calibri"/>
          <w:color w:val="000000"/>
          <w:sz w:val="22"/>
          <w:szCs w:val="22"/>
        </w:rPr>
        <w:t xml:space="preserve">also </w:t>
      </w:r>
      <w:r w:rsidR="0079773B">
        <w:rPr>
          <w:rFonts w:ascii="Calibri" w:hAnsi="Calibri" w:cs="Calibri"/>
          <w:color w:val="000000"/>
          <w:sz w:val="22"/>
          <w:szCs w:val="22"/>
        </w:rPr>
        <w:t xml:space="preserve">to pull forward </w:t>
      </w:r>
      <w:r w:rsidR="0079773B" w:rsidRPr="00F17AEB">
        <w:rPr>
          <w:rFonts w:ascii="Calibri" w:hAnsi="Calibri" w:cs="Calibri"/>
          <w:i/>
          <w:color w:val="000000"/>
          <w:sz w:val="22"/>
          <w:szCs w:val="22"/>
        </w:rPr>
        <w:t>i</w:t>
      </w:r>
      <w:r w:rsidR="00646B18" w:rsidRPr="00F17AEB">
        <w:rPr>
          <w:rFonts w:ascii="Calibri" w:hAnsi="Calibri" w:cs="Calibri"/>
          <w:i/>
          <w:color w:val="000000"/>
          <w:sz w:val="22"/>
          <w:szCs w:val="22"/>
        </w:rPr>
        <w:t>nvestment</w:t>
      </w:r>
      <w:r w:rsidR="00F17AEB">
        <w:rPr>
          <w:rFonts w:ascii="Calibri" w:hAnsi="Calibri" w:cs="Calibri"/>
          <w:i/>
          <w:color w:val="000000"/>
          <w:sz w:val="22"/>
          <w:szCs w:val="22"/>
        </w:rPr>
        <w:t xml:space="preserve"> </w:t>
      </w:r>
      <w:r w:rsidR="00F17AEB">
        <w:rPr>
          <w:rFonts w:ascii="Calibri" w:hAnsi="Calibri" w:cs="Calibri"/>
          <w:color w:val="000000"/>
          <w:sz w:val="22"/>
          <w:szCs w:val="22"/>
        </w:rPr>
        <w:t xml:space="preserve">(rather than </w:t>
      </w:r>
      <w:r w:rsidR="003F1306">
        <w:rPr>
          <w:rFonts w:ascii="Calibri" w:hAnsi="Calibri" w:cs="Calibri"/>
          <w:color w:val="000000"/>
          <w:sz w:val="22"/>
          <w:szCs w:val="22"/>
        </w:rPr>
        <w:t xml:space="preserve">just </w:t>
      </w:r>
      <w:r w:rsidR="00F17AEB">
        <w:rPr>
          <w:rFonts w:ascii="Calibri" w:hAnsi="Calibri" w:cs="Calibri"/>
          <w:color w:val="000000"/>
          <w:sz w:val="22"/>
          <w:szCs w:val="22"/>
        </w:rPr>
        <w:t>demand)</w:t>
      </w:r>
      <w:r w:rsidR="00646B18">
        <w:rPr>
          <w:rFonts w:ascii="Calibri" w:hAnsi="Calibri" w:cs="Calibri"/>
          <w:color w:val="000000"/>
          <w:sz w:val="22"/>
          <w:szCs w:val="22"/>
        </w:rPr>
        <w:t xml:space="preserve">, as firms </w:t>
      </w:r>
      <w:r w:rsidR="00D13142">
        <w:rPr>
          <w:rFonts w:ascii="Calibri" w:hAnsi="Calibri" w:cs="Calibri"/>
          <w:color w:val="000000"/>
          <w:sz w:val="22"/>
          <w:szCs w:val="22"/>
        </w:rPr>
        <w:t xml:space="preserve">now </w:t>
      </w:r>
      <w:r w:rsidR="00646B18">
        <w:rPr>
          <w:rFonts w:ascii="Calibri" w:hAnsi="Calibri" w:cs="Calibri"/>
          <w:color w:val="000000"/>
          <w:sz w:val="22"/>
          <w:szCs w:val="22"/>
        </w:rPr>
        <w:t>have lower</w:t>
      </w:r>
      <w:r w:rsidR="0079773B">
        <w:rPr>
          <w:rFonts w:ascii="Calibri" w:hAnsi="Calibri" w:cs="Calibri"/>
          <w:color w:val="000000"/>
          <w:sz w:val="22"/>
          <w:szCs w:val="22"/>
        </w:rPr>
        <w:t xml:space="preserve"> long-term hurdle rates.</w:t>
      </w:r>
      <w:r w:rsidR="00646B18">
        <w:rPr>
          <w:rFonts w:ascii="Calibri" w:hAnsi="Calibri" w:cs="Calibri"/>
          <w:color w:val="000000"/>
          <w:sz w:val="22"/>
          <w:szCs w:val="22"/>
        </w:rPr>
        <w:t xml:space="preserve"> This appears to have</w:t>
      </w:r>
      <w:r w:rsidR="00AC090B">
        <w:rPr>
          <w:rFonts w:ascii="Calibri" w:hAnsi="Calibri" w:cs="Calibri"/>
          <w:color w:val="000000"/>
          <w:sz w:val="22"/>
          <w:szCs w:val="22"/>
        </w:rPr>
        <w:t xml:space="preserve"> created global</w:t>
      </w:r>
      <w:r w:rsidR="0079773B">
        <w:rPr>
          <w:rFonts w:ascii="Calibri" w:hAnsi="Calibri" w:cs="Calibri"/>
          <w:color w:val="000000"/>
          <w:sz w:val="22"/>
          <w:szCs w:val="22"/>
        </w:rPr>
        <w:t xml:space="preserve"> </w:t>
      </w:r>
      <w:r w:rsidR="00D13142">
        <w:rPr>
          <w:rFonts w:ascii="Calibri" w:hAnsi="Calibri" w:cs="Calibri"/>
          <w:color w:val="000000"/>
          <w:sz w:val="22"/>
          <w:szCs w:val="22"/>
        </w:rPr>
        <w:t xml:space="preserve">overcapacity and oversupply. When </w:t>
      </w:r>
      <w:r w:rsidR="00E20523">
        <w:rPr>
          <w:rFonts w:ascii="Calibri" w:hAnsi="Calibri" w:cs="Calibri"/>
          <w:color w:val="000000"/>
          <w:sz w:val="22"/>
          <w:szCs w:val="22"/>
        </w:rPr>
        <w:t>industries</w:t>
      </w:r>
      <w:r w:rsidR="00D13142">
        <w:rPr>
          <w:rFonts w:ascii="Calibri" w:hAnsi="Calibri" w:cs="Calibri"/>
          <w:color w:val="000000"/>
          <w:sz w:val="22"/>
          <w:szCs w:val="22"/>
        </w:rPr>
        <w:t xml:space="preserve"> have excess cap</w:t>
      </w:r>
      <w:r w:rsidR="00E20523">
        <w:rPr>
          <w:rFonts w:ascii="Calibri" w:hAnsi="Calibri" w:cs="Calibri"/>
          <w:color w:val="000000"/>
          <w:sz w:val="22"/>
          <w:szCs w:val="22"/>
        </w:rPr>
        <w:t>acity, firms</w:t>
      </w:r>
      <w:r w:rsidR="00D13142">
        <w:rPr>
          <w:rFonts w:ascii="Calibri" w:hAnsi="Calibri" w:cs="Calibri"/>
          <w:color w:val="000000"/>
          <w:sz w:val="22"/>
          <w:szCs w:val="22"/>
        </w:rPr>
        <w:t xml:space="preserve"> lose pricing power and </w:t>
      </w:r>
      <w:r w:rsidR="0079773B">
        <w:rPr>
          <w:rFonts w:ascii="Calibri" w:hAnsi="Calibri" w:cs="Calibri"/>
          <w:color w:val="000000"/>
          <w:sz w:val="22"/>
          <w:szCs w:val="22"/>
        </w:rPr>
        <w:t>inflation</w:t>
      </w:r>
      <w:r w:rsidR="00D13142">
        <w:rPr>
          <w:rFonts w:ascii="Calibri" w:hAnsi="Calibri" w:cs="Calibri"/>
          <w:color w:val="000000"/>
          <w:sz w:val="22"/>
          <w:szCs w:val="22"/>
        </w:rPr>
        <w:t xml:space="preserve"> becomes</w:t>
      </w:r>
      <w:r w:rsidR="0079773B">
        <w:rPr>
          <w:rFonts w:ascii="Calibri" w:hAnsi="Calibri" w:cs="Calibri"/>
          <w:color w:val="000000"/>
          <w:sz w:val="22"/>
          <w:szCs w:val="22"/>
        </w:rPr>
        <w:t xml:space="preserve"> </w:t>
      </w:r>
      <w:r w:rsidR="00D13142">
        <w:rPr>
          <w:rFonts w:ascii="Calibri" w:hAnsi="Calibri" w:cs="Calibri"/>
          <w:color w:val="000000"/>
          <w:sz w:val="22"/>
          <w:szCs w:val="22"/>
        </w:rPr>
        <w:t>difficult</w:t>
      </w:r>
      <w:r w:rsidR="0079773B">
        <w:rPr>
          <w:rFonts w:ascii="Calibri" w:hAnsi="Calibri" w:cs="Calibri"/>
          <w:color w:val="000000"/>
          <w:sz w:val="22"/>
          <w:szCs w:val="22"/>
        </w:rPr>
        <w:t xml:space="preserve"> to achieve. </w:t>
      </w:r>
    </w:p>
    <w:p w14:paraId="100B155A" w14:textId="77777777" w:rsidR="00D13142" w:rsidRDefault="00D13142" w:rsidP="000F6728">
      <w:pPr>
        <w:pStyle w:val="xmsonormal"/>
        <w:shd w:val="clear" w:color="auto" w:fill="FFFFFF"/>
        <w:spacing w:before="0" w:beforeAutospacing="0" w:after="0" w:afterAutospacing="0"/>
        <w:jc w:val="both"/>
        <w:rPr>
          <w:rFonts w:ascii="Calibri" w:hAnsi="Calibri" w:cs="Calibri"/>
          <w:color w:val="000000"/>
          <w:sz w:val="22"/>
          <w:szCs w:val="22"/>
        </w:rPr>
      </w:pPr>
    </w:p>
    <w:p w14:paraId="4FD8D7FF" w14:textId="6B656EC0" w:rsidR="00887570" w:rsidRDefault="00B03CA0" w:rsidP="000F6728">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sz w:val="22"/>
          <w:szCs w:val="22"/>
        </w:rPr>
        <w:lastRenderedPageBreak/>
        <w:t xml:space="preserve">Disinflation is not the only risk to low or negative rates. </w:t>
      </w:r>
      <w:r w:rsidR="00875429" w:rsidRPr="00F17AEB">
        <w:rPr>
          <w:rFonts w:ascii="Calibri" w:hAnsi="Calibri" w:cs="Calibri"/>
          <w:sz w:val="22"/>
          <w:szCs w:val="22"/>
        </w:rPr>
        <w:t>It</w:t>
      </w:r>
      <w:r w:rsidR="00747336" w:rsidRPr="00F17AEB">
        <w:rPr>
          <w:rFonts w:ascii="Calibri" w:hAnsi="Calibri" w:cs="Calibri"/>
          <w:sz w:val="22"/>
          <w:szCs w:val="22"/>
        </w:rPr>
        <w:t xml:space="preserve"> is particular</w:t>
      </w:r>
      <w:r w:rsidR="00F17AEB" w:rsidRPr="00F17AEB">
        <w:rPr>
          <w:rFonts w:ascii="Calibri" w:hAnsi="Calibri" w:cs="Calibri"/>
          <w:sz w:val="22"/>
          <w:szCs w:val="22"/>
        </w:rPr>
        <w:t xml:space="preserve">ly important to understand </w:t>
      </w:r>
      <w:r w:rsidR="00875429" w:rsidRPr="00F17AEB">
        <w:rPr>
          <w:rFonts w:ascii="Calibri" w:hAnsi="Calibri" w:cs="Calibri"/>
          <w:sz w:val="22"/>
          <w:szCs w:val="22"/>
        </w:rPr>
        <w:t>risk</w:t>
      </w:r>
      <w:r w:rsidR="00F17AEB" w:rsidRPr="00F17AEB">
        <w:rPr>
          <w:rFonts w:ascii="Calibri" w:hAnsi="Calibri" w:cs="Calibri"/>
          <w:sz w:val="22"/>
          <w:szCs w:val="22"/>
        </w:rPr>
        <w:t>s</w:t>
      </w:r>
      <w:r w:rsidR="00875429" w:rsidRPr="00F17AEB">
        <w:rPr>
          <w:rFonts w:ascii="Calibri" w:hAnsi="Calibri" w:cs="Calibri"/>
          <w:sz w:val="22"/>
          <w:szCs w:val="22"/>
        </w:rPr>
        <w:t xml:space="preserve"> to a system</w:t>
      </w:r>
      <w:r w:rsidR="00F17AEB" w:rsidRPr="00F17AEB">
        <w:rPr>
          <w:rFonts w:ascii="Calibri" w:hAnsi="Calibri" w:cs="Calibri"/>
          <w:sz w:val="22"/>
          <w:szCs w:val="22"/>
        </w:rPr>
        <w:t xml:space="preserve"> where negative yields are common. Currently, there are about $15 trillion in negatively yielding securities. Most of those are in Europe and the rest in Japan</w:t>
      </w:r>
      <w:r w:rsidR="00747336" w:rsidRPr="00F17AEB">
        <w:rPr>
          <w:rFonts w:ascii="Calibri" w:hAnsi="Calibri" w:cs="Calibri"/>
          <w:sz w:val="22"/>
          <w:szCs w:val="22"/>
        </w:rPr>
        <w:t xml:space="preserve">. </w:t>
      </w:r>
      <w:r w:rsidR="00875429" w:rsidRPr="00F17AEB">
        <w:rPr>
          <w:rFonts w:ascii="Calibri" w:hAnsi="Calibri" w:cs="Calibri"/>
          <w:sz w:val="22"/>
          <w:szCs w:val="22"/>
        </w:rPr>
        <w:t>First</w:t>
      </w:r>
      <w:r w:rsidR="00887570" w:rsidRPr="00F17AEB">
        <w:rPr>
          <w:rFonts w:ascii="Calibri" w:hAnsi="Calibri" w:cs="Calibri"/>
          <w:sz w:val="22"/>
          <w:szCs w:val="22"/>
        </w:rPr>
        <w:t>, bank profitability suffe</w:t>
      </w:r>
      <w:r w:rsidR="00F17AEB" w:rsidRPr="00F17AEB">
        <w:rPr>
          <w:rFonts w:ascii="Calibri" w:hAnsi="Calibri" w:cs="Calibri"/>
          <w:sz w:val="22"/>
          <w:szCs w:val="22"/>
        </w:rPr>
        <w:t>rs</w:t>
      </w:r>
      <w:r w:rsidR="00875429" w:rsidRPr="00F17AEB">
        <w:rPr>
          <w:rFonts w:ascii="Calibri" w:hAnsi="Calibri" w:cs="Calibri"/>
          <w:sz w:val="22"/>
          <w:szCs w:val="22"/>
        </w:rPr>
        <w:t xml:space="preserve">. </w:t>
      </w:r>
      <w:r w:rsidR="00887570" w:rsidRPr="00F17AEB">
        <w:rPr>
          <w:rFonts w:ascii="Calibri" w:hAnsi="Calibri" w:cs="Calibri"/>
          <w:sz w:val="22"/>
          <w:szCs w:val="22"/>
        </w:rPr>
        <w:t>Eventually banks pass those costs through to the real economy in the form of potentially higher lending rates (relative to the negative benchmark) and less lending.</w:t>
      </w:r>
      <w:r w:rsidR="00FF301E" w:rsidRPr="00F17AEB">
        <w:rPr>
          <w:rStyle w:val="FootnoteReference"/>
          <w:rFonts w:ascii="Calibri" w:hAnsi="Calibri" w:cs="Calibri"/>
          <w:sz w:val="22"/>
          <w:szCs w:val="22"/>
        </w:rPr>
        <w:footnoteReference w:id="9"/>
      </w:r>
      <w:r w:rsidR="00887570" w:rsidRPr="00F17AEB">
        <w:rPr>
          <w:rFonts w:ascii="Calibri" w:hAnsi="Calibri" w:cs="Calibri"/>
          <w:sz w:val="22"/>
          <w:szCs w:val="22"/>
        </w:rPr>
        <w:t xml:space="preserve"> </w:t>
      </w:r>
      <w:r w:rsidR="003F1306">
        <w:rPr>
          <w:rFonts w:ascii="Calibri" w:hAnsi="Calibri" w:cs="Calibri"/>
          <w:sz w:val="22"/>
          <w:szCs w:val="22"/>
        </w:rPr>
        <w:t>Figure 2 shows that negative deposit rates are not passed along to borrowers.</w:t>
      </w:r>
      <w:r w:rsidR="003F1306">
        <w:rPr>
          <w:rStyle w:val="FootnoteReference"/>
          <w:rFonts w:ascii="Calibri" w:hAnsi="Calibri" w:cs="Calibri"/>
          <w:sz w:val="22"/>
          <w:szCs w:val="22"/>
        </w:rPr>
        <w:footnoteReference w:id="10"/>
      </w:r>
      <w:r w:rsidR="003F1306">
        <w:rPr>
          <w:rFonts w:ascii="Calibri" w:hAnsi="Calibri" w:cs="Calibri"/>
          <w:sz w:val="22"/>
          <w:szCs w:val="22"/>
        </w:rPr>
        <w:t xml:space="preserve"> </w:t>
      </w:r>
      <w:r w:rsidR="00887570" w:rsidRPr="00F17AEB">
        <w:rPr>
          <w:rFonts w:ascii="Calibri" w:hAnsi="Calibri" w:cs="Calibri"/>
          <w:sz w:val="22"/>
          <w:szCs w:val="22"/>
        </w:rPr>
        <w:t xml:space="preserve">Market </w:t>
      </w:r>
      <w:r w:rsidR="00887570">
        <w:rPr>
          <w:rFonts w:ascii="Calibri" w:hAnsi="Calibri" w:cs="Calibri"/>
          <w:color w:val="000000"/>
          <w:sz w:val="22"/>
          <w:szCs w:val="22"/>
        </w:rPr>
        <w:t>participants ought to be painfully aware that the costs of negative rates may ultimately be borne by European taxpayers when Europe’s banks need to recapitalize. Because the financial system is global, a European bank recapitulation would have important implications for global market liquidity (not unlike in 2011) and the global economy.</w:t>
      </w:r>
      <w:r>
        <w:rPr>
          <w:rStyle w:val="FootnoteReference"/>
          <w:rFonts w:ascii="Calibri" w:hAnsi="Calibri" w:cs="Calibri"/>
          <w:color w:val="000000"/>
          <w:sz w:val="22"/>
          <w:szCs w:val="22"/>
        </w:rPr>
        <w:footnoteReference w:id="11"/>
      </w:r>
    </w:p>
    <w:p w14:paraId="6D39CF04" w14:textId="4E0BAEAD" w:rsidR="002432F3" w:rsidRDefault="002432F3" w:rsidP="002432F3">
      <w:pPr>
        <w:pStyle w:val="xmsonormal"/>
        <w:shd w:val="clear" w:color="auto" w:fill="FFFFFF"/>
        <w:spacing w:before="0" w:beforeAutospacing="0" w:after="0" w:afterAutospacing="0"/>
        <w:rPr>
          <w:rFonts w:ascii="Calibri" w:hAnsi="Calibri" w:cs="Calibri"/>
          <w:color w:val="000000"/>
          <w:sz w:val="22"/>
          <w:szCs w:val="22"/>
        </w:rPr>
      </w:pPr>
    </w:p>
    <w:p w14:paraId="3139060E" w14:textId="1169EE76" w:rsidR="000C3A15" w:rsidRDefault="000C3A15" w:rsidP="00F17AEB">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The impact of negative rates extends far beyond </w:t>
      </w:r>
      <w:r w:rsidR="00AC090B">
        <w:rPr>
          <w:rFonts w:ascii="Calibri" w:hAnsi="Calibri" w:cs="Calibri"/>
          <w:color w:val="000000"/>
          <w:sz w:val="22"/>
          <w:szCs w:val="22"/>
        </w:rPr>
        <w:t>t</w:t>
      </w:r>
      <w:r>
        <w:rPr>
          <w:rFonts w:ascii="Calibri" w:hAnsi="Calibri" w:cs="Calibri"/>
          <w:color w:val="000000"/>
          <w:sz w:val="22"/>
          <w:szCs w:val="22"/>
        </w:rPr>
        <w:t xml:space="preserve">he banks. Negative real deposit or </w:t>
      </w:r>
      <w:r w:rsidR="00AC090B">
        <w:rPr>
          <w:rFonts w:ascii="Calibri" w:hAnsi="Calibri" w:cs="Calibri"/>
          <w:color w:val="000000"/>
          <w:sz w:val="22"/>
          <w:szCs w:val="22"/>
        </w:rPr>
        <w:t xml:space="preserve">other </w:t>
      </w:r>
      <w:r>
        <w:rPr>
          <w:rFonts w:ascii="Calibri" w:hAnsi="Calibri" w:cs="Calibri"/>
          <w:color w:val="000000"/>
          <w:sz w:val="22"/>
          <w:szCs w:val="22"/>
        </w:rPr>
        <w:t>policy rates force investors, especially captive audiences like pension funds and insurance companies, to take </w:t>
      </w:r>
      <w:r>
        <w:rPr>
          <w:rFonts w:ascii="Calibri" w:hAnsi="Calibri" w:cs="Calibri"/>
          <w:i/>
          <w:iCs/>
          <w:color w:val="000000"/>
          <w:sz w:val="22"/>
          <w:szCs w:val="22"/>
        </w:rPr>
        <w:t>unwarranted </w:t>
      </w:r>
      <w:r>
        <w:rPr>
          <w:rFonts w:ascii="Calibri" w:hAnsi="Calibri" w:cs="Calibri"/>
          <w:color w:val="000000"/>
          <w:sz w:val="22"/>
          <w:szCs w:val="22"/>
        </w:rPr>
        <w:t>duration or credit risk.</w:t>
      </w:r>
      <w:r w:rsidR="00AC090B">
        <w:rPr>
          <w:rFonts w:ascii="Calibri" w:hAnsi="Calibri" w:cs="Calibri"/>
          <w:color w:val="000000"/>
          <w:sz w:val="22"/>
          <w:szCs w:val="22"/>
        </w:rPr>
        <w:t xml:space="preserve"> For investors like these funds, when purchasing negatively yielding securities, they must receive the benefit of price appreciation to make up for the negative yield. It is the only inducement for such a purchase. In order to induce the purchase, central banks must implicitly guarantee they are committed to such policies.</w:t>
      </w:r>
      <w:r w:rsidR="00AC090B">
        <w:rPr>
          <w:rStyle w:val="FootnoteReference"/>
          <w:rFonts w:ascii="Calibri" w:hAnsi="Calibri" w:cs="Calibri"/>
          <w:color w:val="000000"/>
          <w:sz w:val="22"/>
          <w:szCs w:val="22"/>
        </w:rPr>
        <w:footnoteReference w:id="12"/>
      </w:r>
      <w:r w:rsidR="00AC090B">
        <w:rPr>
          <w:rFonts w:ascii="Calibri" w:hAnsi="Calibri" w:cs="Calibri"/>
          <w:color w:val="000000"/>
          <w:sz w:val="22"/>
          <w:szCs w:val="22"/>
        </w:rPr>
        <w:t xml:space="preserve"> </w:t>
      </w:r>
      <w:r>
        <w:rPr>
          <w:rFonts w:ascii="Calibri" w:hAnsi="Calibri" w:cs="Calibri"/>
          <w:color w:val="000000"/>
          <w:sz w:val="22"/>
          <w:szCs w:val="22"/>
        </w:rPr>
        <w:t>This creates a self-reinforcing cycle that pushes the neutral rate to zero across the entire curve. It becomes a trap from which the central bank can’t escape. This can be said of low rates, but it is particularly true of negative rates. Negative rat</w:t>
      </w:r>
      <w:bookmarkStart w:id="4" w:name="x__ftnref7"/>
      <w:r>
        <w:rPr>
          <w:rFonts w:ascii="Calibri" w:hAnsi="Calibri" w:cs="Calibri"/>
          <w:color w:val="000000"/>
          <w:sz w:val="22"/>
          <w:szCs w:val="22"/>
        </w:rPr>
        <w:t>es necessitate more of the same.</w:t>
      </w:r>
      <w:bookmarkEnd w:id="4"/>
    </w:p>
    <w:p w14:paraId="185F0369" w14:textId="7E9BAE6C" w:rsidR="00B03CA0" w:rsidRPr="00AC090B" w:rsidRDefault="00BB7019" w:rsidP="00AC090B">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noProof/>
          <w:color w:val="000000"/>
          <w:sz w:val="22"/>
          <w:szCs w:val="22"/>
          <w:lang w:eastAsia="zh-CN"/>
        </w:rPr>
        <mc:AlternateContent>
          <mc:Choice Requires="wpg">
            <w:drawing>
              <wp:anchor distT="0" distB="0" distL="114300" distR="114300" simplePos="0" relativeHeight="251661312" behindDoc="0" locked="0" layoutInCell="1" allowOverlap="1" wp14:anchorId="3DE65B2E" wp14:editId="363ED62D">
                <wp:simplePos x="0" y="0"/>
                <wp:positionH relativeFrom="column">
                  <wp:posOffset>0</wp:posOffset>
                </wp:positionH>
                <wp:positionV relativeFrom="paragraph">
                  <wp:posOffset>168606</wp:posOffset>
                </wp:positionV>
                <wp:extent cx="3426460" cy="2758882"/>
                <wp:effectExtent l="0" t="0" r="2540" b="3810"/>
                <wp:wrapSquare wrapText="bothSides"/>
                <wp:docPr id="3" name="Group 3"/>
                <wp:cNvGraphicFramePr/>
                <a:graphic xmlns:a="http://schemas.openxmlformats.org/drawingml/2006/main">
                  <a:graphicData uri="http://schemas.microsoft.com/office/word/2010/wordprocessingGroup">
                    <wpg:wgp>
                      <wpg:cNvGrpSpPr/>
                      <wpg:grpSpPr>
                        <a:xfrm>
                          <a:off x="0" y="0"/>
                          <a:ext cx="3426460" cy="2758882"/>
                          <a:chOff x="0" y="0"/>
                          <a:chExt cx="3426460" cy="2758882"/>
                        </a:xfrm>
                      </wpg:grpSpPr>
                      <pic:pic xmlns:pic="http://schemas.openxmlformats.org/drawingml/2006/picture">
                        <pic:nvPicPr>
                          <pic:cNvPr id="2" name="Picture 2" descr="cid:image001.jpg@01D59889.1D73616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426460" cy="2390140"/>
                          </a:xfrm>
                          <a:prstGeom prst="rect">
                            <a:avLst/>
                          </a:prstGeom>
                          <a:noFill/>
                          <a:ln>
                            <a:noFill/>
                          </a:ln>
                        </pic:spPr>
                      </pic:pic>
                      <wps:wsp>
                        <wps:cNvPr id="1" name="Text Box 1"/>
                        <wps:cNvSpPr txBox="1"/>
                        <wps:spPr>
                          <a:xfrm>
                            <a:off x="0" y="2449002"/>
                            <a:ext cx="3426460" cy="309880"/>
                          </a:xfrm>
                          <a:prstGeom prst="rect">
                            <a:avLst/>
                          </a:prstGeom>
                          <a:solidFill>
                            <a:prstClr val="white"/>
                          </a:solidFill>
                          <a:ln>
                            <a:noFill/>
                          </a:ln>
                        </wps:spPr>
                        <wps:txbx>
                          <w:txbxContent>
                            <w:p w14:paraId="609BC6D1" w14:textId="29AD685F" w:rsidR="00BB7019" w:rsidRPr="001F446C" w:rsidRDefault="00BB7019" w:rsidP="00BB7019">
                              <w:pPr>
                                <w:pStyle w:val="Caption"/>
                                <w:rPr>
                                  <w:rFonts w:ascii="Times New Roman" w:eastAsia="Times New Roman" w:hAnsi="Times New Roman" w:cs="Times New Roman"/>
                                  <w:noProof/>
                                  <w:sz w:val="24"/>
                                  <w:szCs w:val="24"/>
                                </w:rPr>
                              </w:pPr>
                              <w:r>
                                <w:t xml:space="preserve">Figure </w:t>
                              </w:r>
                              <w:fldSimple w:instr=" SEQ Figure \* ARABIC ">
                                <w:r w:rsidR="00243E96">
                                  <w:rPr>
                                    <w:noProof/>
                                  </w:rPr>
                                  <w:t>2</w:t>
                                </w:r>
                              </w:fldSimple>
                              <w:r w:rsidR="00EB0524">
                                <w:t>: Policy rate in Sweden</w:t>
                              </w:r>
                              <w:r>
                                <w:t xml:space="preserve"> versus rates to individuals and corporations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E65B2E" id="Group 3" o:spid="_x0000_s1026" style="position:absolute;left:0;text-align:left;margin-left:0;margin-top:13.3pt;width:269.8pt;height:217.25pt;z-index:251661312" coordsize="34264,27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1.jpg@01D59889.1D736160" style="position:absolute;width:34264;height:2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">
                  <v:imagedata r:id="rId11" r:href="rId12"/>
                </v:shape>
                <v:shapetype id="_x0000_t202" coordsize="21600,21600" o:spt="202" path="m,l,21600r21600,l21600,xe">
                  <v:stroke joinstyle="miter"/>
                  <v:path gradientshapeok="t" o:connecttype="rect"/>
                </v:shapetype>
                <v:shape id="Text Box 1" o:spid="_x0000_s1028" type="#_x0000_t202" style="position:absolute;top:24490;width:34264;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609BC6D1" w14:textId="29AD685F" w:rsidR="00BB7019" w:rsidRPr="001F446C" w:rsidRDefault="00BB7019" w:rsidP="00BB7019">
                        <w:pPr>
                          <w:pStyle w:val="Caption"/>
                          <w:rPr>
                            <w:rFonts w:ascii="Times New Roman" w:eastAsia="Times New Roman" w:hAnsi="Times New Roman" w:cs="Times New Roman"/>
                            <w:noProof/>
                            <w:sz w:val="24"/>
                            <w:szCs w:val="24"/>
                          </w:rPr>
                        </w:pPr>
                        <w:r>
                          <w:t xml:space="preserve">Figure </w:t>
                        </w:r>
                        <w:r w:rsidR="00305384">
                          <w:fldChar w:fldCharType="begin"/>
                        </w:r>
                        <w:r w:rsidR="00305384">
                          <w:instrText xml:space="preserve"> SEQ Figure \* ARABIC </w:instrText>
                        </w:r>
                        <w:r w:rsidR="00305384">
                          <w:fldChar w:fldCharType="separate"/>
                        </w:r>
                        <w:r w:rsidR="00243E96">
                          <w:rPr>
                            <w:noProof/>
                          </w:rPr>
                          <w:t>2</w:t>
                        </w:r>
                        <w:r w:rsidR="00305384">
                          <w:rPr>
                            <w:noProof/>
                          </w:rPr>
                          <w:fldChar w:fldCharType="end"/>
                        </w:r>
                        <w:r w:rsidR="00EB0524">
                          <w:t>: Policy rate in Sweden</w:t>
                        </w:r>
                        <w:r>
                          <w:t xml:space="preserve"> versus rates to individuals and corporations</w:t>
                        </w:r>
                      </w:p>
                    </w:txbxContent>
                  </v:textbox>
                </v:shape>
                <w10:wrap type="square"/>
              </v:group>
            </w:pict>
          </mc:Fallback>
        </mc:AlternateContent>
      </w:r>
    </w:p>
    <w:p w14:paraId="7DB1AFFF" w14:textId="0D33D42A" w:rsidR="00655BEE" w:rsidRPr="00655BEE" w:rsidRDefault="00655BEE">
      <w:pPr>
        <w:rPr>
          <w:b/>
        </w:rPr>
      </w:pPr>
      <w:r w:rsidRPr="00655BEE">
        <w:rPr>
          <w:b/>
        </w:rPr>
        <w:t>Conclusion</w:t>
      </w:r>
    </w:p>
    <w:p w14:paraId="752F4DAB" w14:textId="117ED7E9" w:rsidR="00AC090B" w:rsidRDefault="00B03CA0" w:rsidP="00AC090B">
      <w:pPr>
        <w:pStyle w:val="xmsonormal"/>
        <w:shd w:val="clear" w:color="auto" w:fill="FFFFFF"/>
        <w:spacing w:before="0" w:beforeAutospacing="0" w:after="0" w:afterAutospacing="0"/>
        <w:jc w:val="both"/>
        <w:rPr>
          <w:rFonts w:ascii="Calibri" w:hAnsi="Calibri" w:cs="Calibri"/>
          <w:color w:val="000000"/>
          <w:sz w:val="22"/>
          <w:szCs w:val="22"/>
        </w:rPr>
      </w:pPr>
      <w:r w:rsidRPr="00AC090B">
        <w:rPr>
          <w:rFonts w:ascii="Calibri" w:hAnsi="Calibri" w:cs="Calibri"/>
          <w:color w:val="000000"/>
          <w:sz w:val="22"/>
          <w:szCs w:val="22"/>
        </w:rPr>
        <w:t xml:space="preserve">The distortions QE has created (especially where QE produced negative rates) will be difficult to unwind. It is important to remember that the balance sheet expansion needed to execute on QE policies ultimately works through the suppression of term or risk premia. It is not through a quantity of money mechanism. Little firepower is left in most of the developed world for QE to have more impact, and we conclude more harm than good has already been done through negative rates policy. Overall, there are few levers left for central banks short of moving to purchases of equities (as in </w:t>
      </w:r>
      <w:r w:rsidRPr="00AC090B">
        <w:rPr>
          <w:rFonts w:ascii="Calibri" w:hAnsi="Calibri" w:cs="Calibri"/>
          <w:color w:val="000000"/>
          <w:sz w:val="22"/>
          <w:szCs w:val="22"/>
        </w:rPr>
        <w:lastRenderedPageBreak/>
        <w:t xml:space="preserve">Japan). That leaves fiscal policy, which is notoriously inefficient and has empirically disappointed as a stimulant to growth when compared to good </w:t>
      </w:r>
      <w:proofErr w:type="gramStart"/>
      <w:r w:rsidRPr="00AC090B">
        <w:rPr>
          <w:rFonts w:ascii="Calibri" w:hAnsi="Calibri" w:cs="Calibri"/>
          <w:color w:val="000000"/>
          <w:sz w:val="22"/>
          <w:szCs w:val="22"/>
        </w:rPr>
        <w:t>old fashioned</w:t>
      </w:r>
      <w:proofErr w:type="gramEnd"/>
      <w:r w:rsidRPr="00AC090B">
        <w:rPr>
          <w:rFonts w:ascii="Calibri" w:hAnsi="Calibri" w:cs="Calibri"/>
          <w:color w:val="000000"/>
          <w:sz w:val="22"/>
          <w:szCs w:val="22"/>
        </w:rPr>
        <w:t xml:space="preserve"> productivity</w:t>
      </w:r>
      <w:r w:rsidR="00AC090B">
        <w:rPr>
          <w:rFonts w:ascii="Calibri" w:hAnsi="Calibri" w:cs="Calibri"/>
          <w:color w:val="000000"/>
          <w:sz w:val="22"/>
          <w:szCs w:val="22"/>
        </w:rPr>
        <w:t xml:space="preserve"> gains</w:t>
      </w:r>
      <w:r w:rsidRPr="00AC090B">
        <w:rPr>
          <w:rFonts w:ascii="Calibri" w:hAnsi="Calibri" w:cs="Calibri"/>
          <w:color w:val="000000"/>
          <w:sz w:val="22"/>
          <w:szCs w:val="22"/>
        </w:rPr>
        <w:t>.</w:t>
      </w:r>
      <w:r w:rsidR="00AC090B" w:rsidRPr="00AC090B">
        <w:rPr>
          <w:rFonts w:ascii="Calibri" w:hAnsi="Calibri" w:cs="Calibri"/>
          <w:color w:val="000000"/>
          <w:sz w:val="22"/>
          <w:szCs w:val="22"/>
        </w:rPr>
        <w:t xml:space="preserve"> </w:t>
      </w:r>
      <w:r w:rsidR="00AC090B">
        <w:rPr>
          <w:rFonts w:ascii="Calibri" w:hAnsi="Calibri" w:cs="Calibri"/>
          <w:color w:val="000000"/>
          <w:sz w:val="22"/>
          <w:szCs w:val="22"/>
        </w:rPr>
        <w:t>These gains are harder to achieve when low rates keep zombie companies afloat. The seeds of aggressive rates policy and negative rates were sown in the late 1990s, and they have sprung into large dogmatic trees, which should soon be cut down.</w:t>
      </w:r>
    </w:p>
    <w:p w14:paraId="4A2DC290" w14:textId="588DDBA3" w:rsidR="007D214F" w:rsidRDefault="007D214F" w:rsidP="00AC090B">
      <w:pPr>
        <w:pStyle w:val="xmsonormal"/>
        <w:shd w:val="clear" w:color="auto" w:fill="FFFFFF"/>
        <w:spacing w:before="0" w:beforeAutospacing="0" w:after="0" w:afterAutospacing="0"/>
        <w:jc w:val="both"/>
        <w:rPr>
          <w:rFonts w:ascii="Calibri" w:hAnsi="Calibri" w:cs="Calibri"/>
          <w:color w:val="000000"/>
          <w:sz w:val="22"/>
          <w:szCs w:val="22"/>
        </w:rPr>
      </w:pPr>
    </w:p>
    <w:p w14:paraId="552FE770" w14:textId="2EC76834" w:rsidR="007D214F" w:rsidRDefault="007D214F">
      <w:pPr>
        <w:rPr>
          <w:rFonts w:ascii="Calibri" w:eastAsia="Times New Roman" w:hAnsi="Calibri" w:cs="Calibri"/>
          <w:color w:val="000000"/>
        </w:rPr>
      </w:pPr>
      <w:r>
        <w:rPr>
          <w:rFonts w:ascii="Calibri" w:hAnsi="Calibri" w:cs="Calibri"/>
          <w:color w:val="000000"/>
        </w:rPr>
        <w:br w:type="page"/>
      </w:r>
    </w:p>
    <w:p w14:paraId="32F55A60" w14:textId="77777777" w:rsidR="007D214F" w:rsidRDefault="007D214F" w:rsidP="00AC090B">
      <w:pPr>
        <w:pStyle w:val="xmsonormal"/>
        <w:shd w:val="clear" w:color="auto" w:fill="FFFFFF"/>
        <w:spacing w:before="0" w:beforeAutospacing="0" w:after="0" w:afterAutospacing="0"/>
        <w:jc w:val="both"/>
        <w:rPr>
          <w:rFonts w:ascii="Calibri" w:hAnsi="Calibri" w:cs="Calibri"/>
          <w:color w:val="000000"/>
          <w:sz w:val="22"/>
          <w:szCs w:val="22"/>
        </w:rPr>
      </w:pPr>
    </w:p>
    <w:p w14:paraId="720A08EA" w14:textId="77777777" w:rsidR="007D214F" w:rsidRPr="0000692A" w:rsidRDefault="007D214F" w:rsidP="007D214F">
      <w:pPr>
        <w:pStyle w:val="Default"/>
        <w:pBdr>
          <w:top w:val="single" w:sz="4" w:space="1" w:color="auto"/>
          <w:bottom w:val="single" w:sz="4" w:space="1" w:color="auto"/>
        </w:pBdr>
        <w:rPr>
          <w:rFonts w:asciiTheme="majorHAnsi" w:hAnsiTheme="majorHAnsi" w:cs="Times New Roman"/>
          <w:b/>
          <w:color w:val="auto"/>
        </w:rPr>
      </w:pPr>
      <w:r w:rsidRPr="0000692A">
        <w:rPr>
          <w:rFonts w:asciiTheme="majorHAnsi" w:hAnsiTheme="majorHAnsi" w:cs="Times New Roman"/>
          <w:b/>
          <w:color w:val="auto"/>
        </w:rPr>
        <w:t>Disclaimer</w:t>
      </w:r>
    </w:p>
    <w:p w14:paraId="0604DFBD" w14:textId="77777777" w:rsidR="007D214F" w:rsidRDefault="007D214F" w:rsidP="007D214F">
      <w:pPr>
        <w:jc w:val="both"/>
        <w:rPr>
          <w:rFonts w:asciiTheme="majorHAnsi" w:hAnsiTheme="majorHAnsi" w:cs="Times New Roman"/>
        </w:rPr>
      </w:pPr>
    </w:p>
    <w:p w14:paraId="04080A57" w14:textId="77777777" w:rsidR="007D214F" w:rsidRPr="0000692A" w:rsidRDefault="007D214F" w:rsidP="007D214F">
      <w:pPr>
        <w:jc w:val="both"/>
        <w:rPr>
          <w:rFonts w:asciiTheme="majorHAnsi" w:hAnsiTheme="majorHAnsi" w:cs="Times New Roman"/>
        </w:rPr>
      </w:pPr>
      <w:r w:rsidRPr="0000692A">
        <w:rPr>
          <w:rFonts w:asciiTheme="majorHAnsi" w:hAnsiTheme="majorHAnsi" w:cs="Times New Roman"/>
        </w:rPr>
        <w:t xml:space="preserve">THIS IS NOT A RESEARCH REPORT. THE MATERIAL CONTAINED HEREIN SHOULD BE CONSIDERED SALES AND TRADING COMMENTARY PREPARED FOR INSTITUTIONAL INVESTORS ONLY. This material is intended for institutional investors only, and as such may not be disseminated, distributed, forwarded or otherwise disclosed to any other party that is not an institutional investor, as defined under the Financial Industry Regulatory Authority ("FINRA") Rule 2210(a)(4). </w:t>
      </w:r>
    </w:p>
    <w:p w14:paraId="53662E9B" w14:textId="06E5890D" w:rsidR="007D214F" w:rsidRPr="0000692A" w:rsidRDefault="007D214F" w:rsidP="007D214F">
      <w:pPr>
        <w:jc w:val="both"/>
        <w:rPr>
          <w:rFonts w:asciiTheme="majorHAnsi" w:hAnsiTheme="majorHAnsi" w:cs="Times New Roman"/>
        </w:rPr>
      </w:pPr>
      <w:r w:rsidRPr="0000692A">
        <w:rPr>
          <w:rFonts w:asciiTheme="majorHAnsi" w:hAnsiTheme="majorHAnsi" w:cs="Times New Roman"/>
        </w:rPr>
        <w:t>Options involve risk and are not suitable for all investors. Trading in options is considered speculative and it is possible to lose all, a portion of, or funds in excess of your initial investment. Prior to buying or selling an option, a person must receive a copy of the</w:t>
      </w:r>
      <w:r w:rsidRPr="0000692A">
        <w:rPr>
          <w:rFonts w:asciiTheme="majorHAnsi" w:hAnsiTheme="majorHAnsi" w:cs="Times New Roman"/>
          <w:sz w:val="20"/>
          <w:szCs w:val="20"/>
        </w:rPr>
        <w:t xml:space="preserve"> </w:t>
      </w:r>
      <w:r w:rsidRPr="0000692A">
        <w:rPr>
          <w:rFonts w:asciiTheme="majorHAnsi" w:hAnsiTheme="majorHAnsi" w:cs="Times New Roman"/>
        </w:rPr>
        <w:t xml:space="preserve">ODD available from Cantor, by calling (212) 938-5000, or writing to Cantor Fitzgerald &amp; Co., 110 E. 59th Street, 5th Floor, New York, NY 10022. </w:t>
      </w:r>
    </w:p>
    <w:p w14:paraId="0E7E4F2E" w14:textId="6C835F22" w:rsidR="007D214F" w:rsidRPr="0000692A" w:rsidRDefault="007D214F" w:rsidP="007D214F">
      <w:pPr>
        <w:jc w:val="both"/>
        <w:rPr>
          <w:rFonts w:asciiTheme="majorHAnsi" w:hAnsiTheme="majorHAnsi" w:cs="Times New Roman"/>
        </w:rPr>
      </w:pPr>
      <w:r w:rsidRPr="0000692A">
        <w:rPr>
          <w:rFonts w:asciiTheme="majorHAnsi" w:hAnsiTheme="majorHAnsi" w:cs="Times New Roman"/>
        </w:rPr>
        <w:t xml:space="preserve">Prepared by staff of Cantor Fitzgerald &amp; Co. ("Cantor") and is for information purposes only. It is not intended to form the basis of any investment decision, should not be considered a recommendation by Cantor or any other person and does not constitute an offer or solicitation with respect to the purchase or sale of any investment nor is it a confirmation of terms. Cantor undertakes no obligation to provide recipients with any additional information or any update to or correction of the information contained herein. This material is intended solely for institutional investors and investors who Cantor reasonably believes are institutional investors. Cantor, its officers, employees, affiliates and partners shall not be liable to any person in any way whatsoever for any losses, costs or claims howsoever arising from any inaccuracies or omissions in the information contained herein or any reliance on that information. No liability is accepted by Cantor for any loss that may arise from any use of the information contained herein or derived here from. This product may not be reproduced or redistributed outside the recipient's organization. </w:t>
      </w:r>
    </w:p>
    <w:p w14:paraId="1EB04CEA" w14:textId="77777777" w:rsidR="007D214F" w:rsidRPr="0000692A" w:rsidRDefault="007D214F" w:rsidP="007D214F">
      <w:pPr>
        <w:ind w:left="-810" w:firstLine="810"/>
        <w:jc w:val="both"/>
        <w:rPr>
          <w:rFonts w:asciiTheme="majorHAnsi" w:hAnsiTheme="majorHAnsi" w:cs="Times New Roman"/>
        </w:rPr>
      </w:pPr>
      <w:r w:rsidRPr="0000692A">
        <w:rPr>
          <w:rFonts w:asciiTheme="majorHAnsi" w:hAnsiTheme="majorHAnsi" w:cs="Times New Roman"/>
        </w:rPr>
        <w:t>Sources: Cantor Fitzgerald &amp; Co. and Bloomberg</w:t>
      </w:r>
    </w:p>
    <w:p w14:paraId="73ADEA7F" w14:textId="77777777" w:rsidR="007D214F" w:rsidRDefault="007D214F" w:rsidP="00AC090B">
      <w:pPr>
        <w:pStyle w:val="xmsonormal"/>
        <w:shd w:val="clear" w:color="auto" w:fill="FFFFFF"/>
        <w:spacing w:before="0" w:beforeAutospacing="0" w:after="0" w:afterAutospacing="0"/>
        <w:jc w:val="both"/>
        <w:rPr>
          <w:rFonts w:ascii="Calibri" w:hAnsi="Calibri" w:cs="Calibri"/>
          <w:color w:val="000000"/>
          <w:sz w:val="22"/>
          <w:szCs w:val="22"/>
        </w:rPr>
      </w:pPr>
    </w:p>
    <w:p w14:paraId="01DB8508" w14:textId="357F716E" w:rsidR="00655BEE" w:rsidRPr="00AC090B" w:rsidRDefault="00655BEE" w:rsidP="00AC090B">
      <w:pPr>
        <w:pStyle w:val="xmsonormal"/>
        <w:shd w:val="clear" w:color="auto" w:fill="FFFFFF"/>
        <w:spacing w:before="0" w:beforeAutospacing="0" w:after="0" w:afterAutospacing="0"/>
        <w:jc w:val="both"/>
        <w:rPr>
          <w:rFonts w:ascii="Calibri" w:hAnsi="Calibri" w:cs="Calibri"/>
          <w:color w:val="000000"/>
          <w:sz w:val="22"/>
          <w:szCs w:val="22"/>
        </w:rPr>
      </w:pPr>
    </w:p>
    <w:sectPr w:rsidR="00655BEE" w:rsidRPr="00AC090B" w:rsidSect="007D214F">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7E84" w14:textId="77777777" w:rsidR="00DE4E7F" w:rsidRDefault="00DE4E7F" w:rsidP="006968E8">
      <w:pPr>
        <w:spacing w:after="0" w:line="240" w:lineRule="auto"/>
      </w:pPr>
      <w:r>
        <w:separator/>
      </w:r>
    </w:p>
  </w:endnote>
  <w:endnote w:type="continuationSeparator" w:id="0">
    <w:p w14:paraId="533F48E5" w14:textId="77777777" w:rsidR="00DE4E7F" w:rsidRDefault="00DE4E7F" w:rsidP="0069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A85C" w14:textId="77777777" w:rsidR="00DE4E7F" w:rsidRDefault="00DE4E7F" w:rsidP="006968E8">
      <w:pPr>
        <w:spacing w:after="0" w:line="240" w:lineRule="auto"/>
      </w:pPr>
      <w:r>
        <w:separator/>
      </w:r>
    </w:p>
  </w:footnote>
  <w:footnote w:type="continuationSeparator" w:id="0">
    <w:p w14:paraId="02552DC5" w14:textId="77777777" w:rsidR="00DE4E7F" w:rsidRDefault="00DE4E7F" w:rsidP="006968E8">
      <w:pPr>
        <w:spacing w:after="0" w:line="240" w:lineRule="auto"/>
      </w:pPr>
      <w:r>
        <w:continuationSeparator/>
      </w:r>
    </w:p>
  </w:footnote>
  <w:footnote w:id="1">
    <w:p w14:paraId="47EEB1F7" w14:textId="16F777C0" w:rsidR="0040090D" w:rsidRDefault="0040090D">
      <w:pPr>
        <w:pStyle w:val="FootnoteText"/>
      </w:pPr>
      <w:r>
        <w:rPr>
          <w:rStyle w:val="FootnoteReference"/>
        </w:rPr>
        <w:footnoteRef/>
      </w:r>
      <w:r>
        <w:t xml:space="preserve"> The need for a quick policy reversal here in the U.S. when </w:t>
      </w:r>
      <w:r w:rsidR="001C42CD">
        <w:t>the F</w:t>
      </w:r>
      <w:r>
        <w:t>ed funds effective rate hit 2.5% and the U.S. 10-year hit 3.25% is anecdotal evidence of this.</w:t>
      </w:r>
      <w:r w:rsidR="00770B34">
        <w:t xml:space="preserve"> Now, we think 2% on UST 10-year yields is the new 3%.</w:t>
      </w:r>
    </w:p>
  </w:footnote>
  <w:footnote w:id="2">
    <w:p w14:paraId="64F34CBD" w14:textId="507D2C03" w:rsidR="00F00462" w:rsidRPr="00F15568" w:rsidRDefault="00F00462" w:rsidP="00C3408C">
      <w:pPr>
        <w:pStyle w:val="FootnoteText"/>
        <w:jc w:val="both"/>
      </w:pPr>
      <w:r>
        <w:rPr>
          <w:rStyle w:val="FootnoteReference"/>
        </w:rPr>
        <w:footnoteRef/>
      </w:r>
      <w:r>
        <w:t xml:space="preserve"> </w:t>
      </w:r>
      <w:r w:rsidR="00C3408C">
        <w:t>The Swiss</w:t>
      </w:r>
      <w:r w:rsidRPr="00F15568">
        <w:t xml:space="preserve"> </w:t>
      </w:r>
      <w:proofErr w:type="gramStart"/>
      <w:r w:rsidRPr="00F15568">
        <w:t>actually pioneered</w:t>
      </w:r>
      <w:proofErr w:type="gramEnd"/>
      <w:r w:rsidRPr="00F15568">
        <w:t xml:space="preserve"> the practice back in the 1970s to keep their safe-haven currency from over-appreciating.</w:t>
      </w:r>
    </w:p>
  </w:footnote>
  <w:footnote w:id="3">
    <w:p w14:paraId="664584F7" w14:textId="13A89B39" w:rsidR="00181FC1" w:rsidRDefault="00181FC1">
      <w:pPr>
        <w:pStyle w:val="FootnoteText"/>
      </w:pPr>
      <w:r>
        <w:rPr>
          <w:rStyle w:val="FootnoteReference"/>
        </w:rPr>
        <w:footnoteRef/>
      </w:r>
      <w:r>
        <w:t xml:space="preserve"> For a discussion of the difference between temporary and permanent operations please see </w:t>
      </w:r>
      <w:hyperlink r:id="rId1" w:history="1">
        <w:r w:rsidRPr="00E63D3F">
          <w:rPr>
            <w:rStyle w:val="Hyperlink"/>
          </w:rPr>
          <w:t>https://www.federalreserve.gov/monetarypolicy/bst_openmarketops.htm</w:t>
        </w:r>
      </w:hyperlink>
      <w:r>
        <w:t xml:space="preserve">. Temporary open market operation </w:t>
      </w:r>
      <w:proofErr w:type="gramStart"/>
      <w:r>
        <w:t>suppress</w:t>
      </w:r>
      <w:proofErr w:type="gramEnd"/>
      <w:r>
        <w:t xml:space="preserve"> short rates while permanent operations suppress long rates (QE).</w:t>
      </w:r>
    </w:p>
  </w:footnote>
  <w:footnote w:id="4">
    <w:p w14:paraId="2D6C7ECF" w14:textId="4F7A384C" w:rsidR="001C42CD" w:rsidRDefault="001C42CD">
      <w:pPr>
        <w:pStyle w:val="FootnoteText"/>
      </w:pPr>
      <w:r>
        <w:rPr>
          <w:rStyle w:val="FootnoteReference"/>
        </w:rPr>
        <w:footnoteRef/>
      </w:r>
      <w:r>
        <w:t xml:space="preserve"> </w:t>
      </w:r>
      <w:hyperlink r:id="rId2" w:history="1">
        <w:r w:rsidRPr="001C42CD">
          <w:rPr>
            <w:rStyle w:val="Hyperlink"/>
            <w:i/>
          </w:rPr>
          <w:t>World has learned wrong lessons from 'Japanification'</w:t>
        </w:r>
      </w:hyperlink>
    </w:p>
  </w:footnote>
  <w:footnote w:id="5">
    <w:p w14:paraId="5688DA40" w14:textId="18C58286" w:rsidR="00F15568" w:rsidRDefault="00F15568">
      <w:pPr>
        <w:pStyle w:val="FootnoteText"/>
      </w:pPr>
      <w:r>
        <w:rPr>
          <w:rStyle w:val="FootnoteReference"/>
        </w:rPr>
        <w:footnoteRef/>
      </w:r>
      <w:r>
        <w:t xml:space="preserve"> While alternate causes for the move in U.S. long rates may be a lack of above trend growth and inflation in the U.S., the move in 10-year yields versus the Bund and 10-year JGB is observable. </w:t>
      </w:r>
    </w:p>
  </w:footnote>
  <w:footnote w:id="6">
    <w:p w14:paraId="36DC95B4" w14:textId="77777777" w:rsidR="003F1306" w:rsidRPr="003F1306" w:rsidRDefault="003F1306" w:rsidP="003F1306">
      <w:pPr>
        <w:pStyle w:val="xmsonormal"/>
        <w:shd w:val="clear" w:color="auto" w:fill="FFFFFF"/>
        <w:spacing w:before="0" w:beforeAutospacing="0" w:after="0" w:afterAutospacing="0"/>
        <w:jc w:val="both"/>
        <w:rPr>
          <w:rFonts w:ascii="Calibri" w:hAnsi="Calibri" w:cs="Calibri"/>
          <w:sz w:val="20"/>
          <w:szCs w:val="22"/>
        </w:rPr>
      </w:pPr>
      <w:r>
        <w:rPr>
          <w:rStyle w:val="FootnoteReference"/>
        </w:rPr>
        <w:footnoteRef/>
      </w:r>
      <w:r>
        <w:t xml:space="preserve"> </w:t>
      </w:r>
      <w:r w:rsidRPr="003F1306">
        <w:rPr>
          <w:rFonts w:ascii="Calibri" w:hAnsi="Calibri" w:cs="Calibri"/>
          <w:sz w:val="20"/>
          <w:szCs w:val="22"/>
        </w:rPr>
        <w:t>It remains our view that European and Japanese negative yields will persist for at least the next eighteen months (and likely for much longer) because global growth will fail to turn. After the recent backup in yields, we foresee Bund yields once again below -50bps by year-end. The secular challenges to growth in Europe and Japan simply will not go away.</w:t>
      </w:r>
    </w:p>
  </w:footnote>
  <w:footnote w:id="7">
    <w:p w14:paraId="25381195" w14:textId="6087B52C" w:rsidR="00DC46E4" w:rsidRPr="003F1306" w:rsidRDefault="00DC46E4" w:rsidP="003F1306">
      <w:pPr>
        <w:pStyle w:val="xmsonormal"/>
        <w:shd w:val="clear" w:color="auto" w:fill="FFFFFF"/>
        <w:spacing w:before="0" w:beforeAutospacing="0" w:after="0" w:afterAutospacing="0"/>
        <w:jc w:val="both"/>
        <w:rPr>
          <w:rFonts w:ascii="Calibri" w:eastAsiaTheme="minorHAnsi" w:hAnsi="Calibri" w:cs="Calibri"/>
          <w:color w:val="000000"/>
          <w:sz w:val="20"/>
          <w:szCs w:val="22"/>
        </w:rPr>
      </w:pPr>
      <w:r>
        <w:rPr>
          <w:rStyle w:val="FootnoteReference"/>
        </w:rPr>
        <w:footnoteRef/>
      </w:r>
      <w:r>
        <w:t xml:space="preserve"> </w:t>
      </w:r>
      <w:hyperlink r:id="rId3" w:history="1">
        <w:r w:rsidR="003F1306" w:rsidRPr="003F1306">
          <w:rPr>
            <w:rStyle w:val="Hyperlink"/>
            <w:rFonts w:ascii="Calibri" w:eastAsiaTheme="minorHAnsi" w:hAnsi="Calibri" w:cs="Calibri"/>
            <w:i/>
            <w:sz w:val="20"/>
            <w:szCs w:val="22"/>
          </w:rPr>
          <w:t>The Philips Curve at the ECB</w:t>
        </w:r>
      </w:hyperlink>
      <w:r w:rsidRPr="003F1306">
        <w:rPr>
          <w:rFonts w:ascii="Calibri" w:eastAsiaTheme="minorHAnsi" w:hAnsi="Calibri" w:cs="Calibri"/>
          <w:color w:val="000000"/>
          <w:sz w:val="20"/>
          <w:szCs w:val="22"/>
        </w:rPr>
        <w:t>.</w:t>
      </w:r>
      <w:r w:rsidR="003F1306" w:rsidRPr="003F1306">
        <w:rPr>
          <w:rFonts w:ascii="Calibri" w:eastAsiaTheme="minorHAnsi" w:hAnsi="Calibri" w:cs="Calibri"/>
          <w:color w:val="000000"/>
          <w:sz w:val="20"/>
          <w:szCs w:val="22"/>
        </w:rPr>
        <w:t xml:space="preserve"> Those cataclysmic results include massive capital loss at pension funds and insurance companies that have purchased negatively yielding securities. </w:t>
      </w:r>
    </w:p>
  </w:footnote>
  <w:footnote w:id="8">
    <w:p w14:paraId="16405CC4" w14:textId="77777777" w:rsidR="00E20523" w:rsidRPr="00F17AEB" w:rsidRDefault="00E20523" w:rsidP="003F1306">
      <w:pPr>
        <w:pStyle w:val="FootnoteText"/>
        <w:jc w:val="both"/>
        <w:rPr>
          <w:rFonts w:ascii="Calibri" w:hAnsi="Calibri" w:cs="Calibri"/>
          <w:color w:val="000000"/>
          <w:szCs w:val="22"/>
        </w:rPr>
      </w:pPr>
      <w:r>
        <w:rPr>
          <w:rStyle w:val="FootnoteReference"/>
        </w:rPr>
        <w:footnoteRef/>
      </w:r>
      <w:r>
        <w:t xml:space="preserve"> </w:t>
      </w:r>
      <w:r w:rsidRPr="00F17AEB">
        <w:rPr>
          <w:rFonts w:ascii="Calibri" w:hAnsi="Calibri" w:cs="Calibri"/>
          <w:color w:val="000000"/>
          <w:szCs w:val="22"/>
        </w:rPr>
        <w:t>Any withdrawal from these policies is likely to be a painful process for which few policy makers have the stomach. Perhaps, with a new ECB chief at the helm, a policy ‘mistake’ that allows European rates to become less negative too quickly will be the undoing of global risk-on.</w:t>
      </w:r>
    </w:p>
  </w:footnote>
  <w:footnote w:id="9">
    <w:p w14:paraId="5C67F5D9" w14:textId="77777777" w:rsidR="00F17AEB" w:rsidRPr="00F17AEB" w:rsidRDefault="00FF301E" w:rsidP="003F1306">
      <w:pPr>
        <w:pStyle w:val="xmsonormal"/>
        <w:shd w:val="clear" w:color="auto" w:fill="FFFFFF"/>
        <w:spacing w:before="0" w:beforeAutospacing="0" w:after="0" w:afterAutospacing="0"/>
        <w:jc w:val="both"/>
        <w:rPr>
          <w:rFonts w:ascii="Calibri" w:hAnsi="Calibri" w:cs="Calibri"/>
          <w:color w:val="000000"/>
          <w:sz w:val="20"/>
          <w:szCs w:val="22"/>
        </w:rPr>
      </w:pPr>
      <w:r>
        <w:rPr>
          <w:rStyle w:val="FootnoteReference"/>
        </w:rPr>
        <w:footnoteRef/>
      </w:r>
      <w:r>
        <w:t xml:space="preserve"> </w:t>
      </w:r>
      <w:r w:rsidRPr="00F17AEB">
        <w:rPr>
          <w:rFonts w:ascii="Calibri" w:hAnsi="Calibri" w:cs="Calibri"/>
          <w:color w:val="000000"/>
          <w:sz w:val="20"/>
          <w:szCs w:val="22"/>
        </w:rPr>
        <w:t>The impact of negative rates on banks may be summarized as follows:</w:t>
      </w:r>
    </w:p>
    <w:p w14:paraId="26BCB2A5" w14:textId="77777777" w:rsidR="00F17AEB" w:rsidRPr="00F17AEB" w:rsidRDefault="00FF301E" w:rsidP="003F1306">
      <w:pPr>
        <w:pStyle w:val="xmsonormal"/>
        <w:numPr>
          <w:ilvl w:val="0"/>
          <w:numId w:val="1"/>
        </w:numPr>
        <w:shd w:val="clear" w:color="auto" w:fill="FFFFFF"/>
        <w:spacing w:before="0" w:beforeAutospacing="0" w:after="0" w:afterAutospacing="0"/>
        <w:jc w:val="both"/>
        <w:rPr>
          <w:rFonts w:ascii="Calibri" w:hAnsi="Calibri" w:cs="Calibri"/>
          <w:color w:val="000000"/>
          <w:sz w:val="20"/>
          <w:szCs w:val="22"/>
        </w:rPr>
      </w:pPr>
      <w:r w:rsidRPr="00F17AEB">
        <w:rPr>
          <w:rFonts w:ascii="Calibri" w:hAnsi="Calibri" w:cs="Calibri"/>
          <w:color w:val="000000"/>
          <w:sz w:val="20"/>
          <w:szCs w:val="22"/>
        </w:rPr>
        <w:t>negative interest rates destroy NIMs;</w:t>
      </w:r>
    </w:p>
    <w:p w14:paraId="1E75EDF4" w14:textId="6FD85F17" w:rsidR="00F17AEB" w:rsidRPr="00F17AEB" w:rsidRDefault="00FF301E" w:rsidP="00F17AEB">
      <w:pPr>
        <w:pStyle w:val="xmsonormal"/>
        <w:numPr>
          <w:ilvl w:val="0"/>
          <w:numId w:val="1"/>
        </w:numPr>
        <w:shd w:val="clear" w:color="auto" w:fill="FFFFFF"/>
        <w:spacing w:before="0" w:beforeAutospacing="0" w:after="0" w:afterAutospacing="0"/>
        <w:jc w:val="both"/>
        <w:rPr>
          <w:rFonts w:ascii="Calibri" w:hAnsi="Calibri" w:cs="Calibri"/>
          <w:color w:val="000000"/>
          <w:sz w:val="20"/>
          <w:szCs w:val="22"/>
        </w:rPr>
      </w:pPr>
      <w:r w:rsidRPr="00F17AEB">
        <w:rPr>
          <w:rFonts w:ascii="Calibri" w:hAnsi="Calibri" w:cs="Calibri"/>
          <w:color w:val="000000"/>
          <w:sz w:val="20"/>
          <w:szCs w:val="22"/>
        </w:rPr>
        <w:t xml:space="preserve">upon dipping below the ZLB (zero lower bound), banks no longer pass through negative yield to borrowers but in fact increase lending rates </w:t>
      </w:r>
      <w:proofErr w:type="gramStart"/>
      <w:r w:rsidRPr="00F17AEB">
        <w:rPr>
          <w:rFonts w:ascii="Calibri" w:hAnsi="Calibri" w:cs="Calibri"/>
          <w:color w:val="000000"/>
          <w:sz w:val="20"/>
          <w:szCs w:val="22"/>
        </w:rPr>
        <w:t>as a way to</w:t>
      </w:r>
      <w:proofErr w:type="gramEnd"/>
      <w:r w:rsidRPr="00F17AEB">
        <w:rPr>
          <w:rFonts w:ascii="Calibri" w:hAnsi="Calibri" w:cs="Calibri"/>
          <w:color w:val="000000"/>
          <w:sz w:val="20"/>
          <w:szCs w:val="22"/>
        </w:rPr>
        <w:t xml:space="preserve"> offset the cost of paying Central Banks </w:t>
      </w:r>
      <w:r w:rsidR="00E9414D">
        <w:rPr>
          <w:rFonts w:ascii="Calibri" w:hAnsi="Calibri" w:cs="Calibri"/>
          <w:color w:val="000000"/>
          <w:sz w:val="20"/>
          <w:szCs w:val="22"/>
        </w:rPr>
        <w:t>for safely storing currency</w:t>
      </w:r>
      <w:r w:rsidR="00BB7019">
        <w:rPr>
          <w:rFonts w:ascii="Calibri" w:hAnsi="Calibri" w:cs="Calibri"/>
          <w:color w:val="000000"/>
          <w:sz w:val="20"/>
          <w:szCs w:val="22"/>
        </w:rPr>
        <w:t>, and</w:t>
      </w:r>
    </w:p>
    <w:p w14:paraId="2CA540FB" w14:textId="3812F914" w:rsidR="00FF301E" w:rsidRPr="003F1306" w:rsidRDefault="00FF301E" w:rsidP="00FF301E">
      <w:pPr>
        <w:pStyle w:val="xmsonormal"/>
        <w:numPr>
          <w:ilvl w:val="0"/>
          <w:numId w:val="1"/>
        </w:numPr>
        <w:shd w:val="clear" w:color="auto" w:fill="FFFFFF"/>
        <w:spacing w:before="0" w:beforeAutospacing="0" w:after="0" w:afterAutospacing="0"/>
        <w:jc w:val="both"/>
        <w:rPr>
          <w:rFonts w:ascii="Calibri" w:hAnsi="Calibri" w:cs="Calibri"/>
          <w:color w:val="000000"/>
          <w:sz w:val="20"/>
          <w:szCs w:val="22"/>
        </w:rPr>
      </w:pPr>
      <w:r w:rsidRPr="00F17AEB">
        <w:rPr>
          <w:rFonts w:ascii="Calibri" w:hAnsi="Calibri" w:cs="Calibri"/>
          <w:color w:val="000000"/>
          <w:sz w:val="20"/>
          <w:szCs w:val="22"/>
        </w:rPr>
        <w:t xml:space="preserve">loan volumes may </w:t>
      </w:r>
      <w:proofErr w:type="gramStart"/>
      <w:r w:rsidRPr="00F17AEB">
        <w:rPr>
          <w:rFonts w:ascii="Calibri" w:hAnsi="Calibri" w:cs="Calibri"/>
          <w:color w:val="000000"/>
          <w:sz w:val="20"/>
          <w:szCs w:val="22"/>
        </w:rPr>
        <w:t>actually decline</w:t>
      </w:r>
      <w:proofErr w:type="gramEnd"/>
      <w:r w:rsidRPr="00F17AEB">
        <w:rPr>
          <w:rFonts w:ascii="Calibri" w:hAnsi="Calibri" w:cs="Calibri"/>
          <w:color w:val="000000"/>
          <w:sz w:val="20"/>
          <w:szCs w:val="22"/>
        </w:rPr>
        <w:t xml:space="preserve"> as rates rise because of the pass-through the costs.</w:t>
      </w:r>
    </w:p>
    <w:p w14:paraId="18B9D822" w14:textId="77777777" w:rsidR="00FF301E" w:rsidRPr="00FF301E" w:rsidRDefault="00FF301E" w:rsidP="00FF301E">
      <w:pPr>
        <w:pStyle w:val="xmsonormal"/>
        <w:shd w:val="clear" w:color="auto" w:fill="FFFFFF"/>
        <w:spacing w:before="0" w:beforeAutospacing="0" w:after="0" w:afterAutospacing="0"/>
        <w:rPr>
          <w:rFonts w:ascii="Calibri" w:hAnsi="Calibri" w:cs="Calibri"/>
          <w:color w:val="000000"/>
          <w:sz w:val="22"/>
          <w:szCs w:val="22"/>
        </w:rPr>
      </w:pPr>
    </w:p>
  </w:footnote>
  <w:footnote w:id="10">
    <w:p w14:paraId="7B40B44E" w14:textId="32CD68A2" w:rsidR="003F1306" w:rsidRPr="00B03CA0" w:rsidRDefault="003F1306" w:rsidP="00B03CA0">
      <w:pPr>
        <w:pStyle w:val="FootnoteText"/>
        <w:rPr>
          <w:i/>
        </w:rPr>
      </w:pPr>
      <w:r>
        <w:rPr>
          <w:rStyle w:val="FootnoteReference"/>
        </w:rPr>
        <w:footnoteRef/>
      </w:r>
      <w:r w:rsidR="00B03CA0">
        <w:t xml:space="preserve"> </w:t>
      </w:r>
      <w:hyperlink r:id="rId4" w:history="1">
        <w:r w:rsidR="00B03CA0" w:rsidRPr="00B03CA0">
          <w:rPr>
            <w:rStyle w:val="Hyperlink"/>
            <w:i/>
          </w:rPr>
          <w:t>Negative nominal interest rates and the bank lending channel</w:t>
        </w:r>
      </w:hyperlink>
    </w:p>
  </w:footnote>
  <w:footnote w:id="11">
    <w:p w14:paraId="2D56A912" w14:textId="1A1D9798" w:rsidR="00B03CA0" w:rsidRDefault="00B03CA0">
      <w:pPr>
        <w:pStyle w:val="FootnoteText"/>
      </w:pPr>
      <w:r>
        <w:rPr>
          <w:rStyle w:val="FootnoteReference"/>
        </w:rPr>
        <w:footnoteRef/>
      </w:r>
      <w:r>
        <w:t xml:space="preserve"> Tiering is one way the ECB has elected to attempt to ameliorate the negative impact on banks.</w:t>
      </w:r>
    </w:p>
  </w:footnote>
  <w:footnote w:id="12">
    <w:p w14:paraId="528950B2" w14:textId="06349CD2" w:rsidR="00AC090B" w:rsidRDefault="00AC090B">
      <w:pPr>
        <w:pStyle w:val="FootnoteText"/>
      </w:pPr>
      <w:r>
        <w:rPr>
          <w:rStyle w:val="FootnoteReference"/>
        </w:rPr>
        <w:footnoteRef/>
      </w:r>
      <w:r>
        <w:t xml:space="preserve"> </w:t>
      </w:r>
      <w:r w:rsidRPr="00AC090B">
        <w:t xml:space="preserve">The impact on pension fund returns is potentially catastrophic. This is where the duration and credit risk </w:t>
      </w:r>
      <w:proofErr w:type="gramStart"/>
      <w:r w:rsidRPr="00AC090B">
        <w:t>is</w:t>
      </w:r>
      <w:proofErr w:type="gramEnd"/>
      <w:r w:rsidRPr="00AC090B">
        <w:t xml:space="preserve"> most concentrated and could easily evolve into systemic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0FD3" w14:textId="26E4E92C" w:rsidR="001707CE" w:rsidRPr="0000692A" w:rsidRDefault="001707CE" w:rsidP="001707CE">
    <w:pPr>
      <w:pStyle w:val="Header"/>
      <w:pBdr>
        <w:bottom w:val="single" w:sz="4" w:space="1" w:color="auto"/>
      </w:pBdr>
      <w:rPr>
        <w:rFonts w:asciiTheme="majorHAnsi" w:hAnsiTheme="majorHAnsi" w:cs="Times New Roman"/>
      </w:rPr>
    </w:pPr>
    <w:r>
      <w:rPr>
        <w:rFonts w:asciiTheme="majorHAnsi" w:hAnsiTheme="majorHAnsi" w:cs="Times New Roman"/>
      </w:rPr>
      <w:t>November 25</w:t>
    </w:r>
    <w:r w:rsidRPr="00BF7E9B">
      <w:rPr>
        <w:rFonts w:asciiTheme="majorHAnsi" w:hAnsiTheme="majorHAnsi" w:cs="Times New Roman"/>
        <w:vertAlign w:val="superscript"/>
      </w:rPr>
      <w:t>th</w:t>
    </w:r>
    <w:r>
      <w:rPr>
        <w:rFonts w:asciiTheme="majorHAnsi" w:hAnsiTheme="majorHAnsi" w:cs="Times New Roman"/>
      </w:rPr>
      <w:t>, 2019</w:t>
    </w:r>
    <w:r>
      <w:rPr>
        <w:rFonts w:asciiTheme="majorHAnsi" w:hAnsiTheme="majorHAnsi" w:cs="Times New Roman"/>
      </w:rPr>
      <w:tab/>
    </w:r>
    <w:r w:rsidRPr="0000692A">
      <w:rPr>
        <w:rFonts w:asciiTheme="majorHAnsi" w:hAnsiTheme="majorHAnsi" w:cs="Times New Roman"/>
      </w:rPr>
      <w:tab/>
    </w:r>
  </w:p>
  <w:p w14:paraId="4529D42B" w14:textId="77777777" w:rsidR="001707CE" w:rsidRDefault="00170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
      <w:tblW w:w="10080" w:type="dxa"/>
      <w:tblLayout w:type="fixed"/>
      <w:tblLook w:val="04A0" w:firstRow="1" w:lastRow="0" w:firstColumn="1" w:lastColumn="0" w:noHBand="0" w:noVBand="1"/>
    </w:tblPr>
    <w:tblGrid>
      <w:gridCol w:w="10080"/>
    </w:tblGrid>
    <w:tr w:rsidR="007D214F" w:rsidRPr="00DE37B0" w14:paraId="55295C53" w14:textId="77777777" w:rsidTr="00314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14:paraId="31CB091D" w14:textId="77777777" w:rsidR="007D214F" w:rsidRPr="00DE37B0" w:rsidRDefault="007D214F" w:rsidP="007D214F">
          <w:pPr>
            <w:ind w:left="-108"/>
            <w:jc w:val="both"/>
            <w:rPr>
              <w:rFonts w:ascii="Calibri" w:hAnsi="Calibri" w:cs="Times New Roman"/>
              <w:sz w:val="20"/>
              <w:szCs w:val="20"/>
            </w:rPr>
          </w:pPr>
          <w:r>
            <w:rPr>
              <w:noProof/>
              <w:lang w:eastAsia="zh-CN"/>
            </w:rPr>
            <w:drawing>
              <wp:inline distT="0" distB="0" distL="0" distR="0" wp14:anchorId="13759FA8" wp14:editId="227AB8DD">
                <wp:extent cx="1351722" cy="67268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59475" cy="676546"/>
                        </a:xfrm>
                        <a:prstGeom prst="rect">
                          <a:avLst/>
                        </a:prstGeom>
                      </pic:spPr>
                    </pic:pic>
                  </a:graphicData>
                </a:graphic>
              </wp:inline>
            </w:drawing>
          </w:r>
        </w:p>
      </w:tc>
    </w:tr>
    <w:tr w:rsidR="007D214F" w:rsidRPr="0000692A" w14:paraId="22C27747" w14:textId="77777777" w:rsidTr="00314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14:paraId="2EC7BE3C" w14:textId="77777777" w:rsidR="007D214F" w:rsidRPr="001707CE" w:rsidRDefault="007D214F" w:rsidP="007D214F">
          <w:pPr>
            <w:ind w:left="-108"/>
            <w:jc w:val="right"/>
            <w:rPr>
              <w:rFonts w:asciiTheme="majorHAnsi" w:eastAsia="Times New Roman" w:hAnsiTheme="majorHAnsi" w:cs="Times New Roman"/>
              <w:noProof/>
              <w:color w:val="365F91"/>
              <w:sz w:val="18"/>
              <w:szCs w:val="18"/>
            </w:rPr>
          </w:pPr>
          <w:r w:rsidRPr="001707CE">
            <w:rPr>
              <w:rFonts w:asciiTheme="majorHAnsi" w:eastAsia="Times New Roman" w:hAnsiTheme="majorHAnsi" w:cs="Times New Roman"/>
              <w:noProof/>
              <w:color w:val="365F91"/>
              <w:sz w:val="18"/>
              <w:szCs w:val="18"/>
            </w:rPr>
            <w:t>Peter Cecchini, Chief Market Strategist, Cantor Fitzgerald</w:t>
          </w:r>
        </w:p>
        <w:p w14:paraId="3FD9D4B8" w14:textId="77777777" w:rsidR="007D214F" w:rsidRPr="0000692A" w:rsidRDefault="00DE4E7F" w:rsidP="007D214F">
          <w:pPr>
            <w:ind w:left="-108" w:right="-18"/>
            <w:jc w:val="right"/>
            <w:rPr>
              <w:rFonts w:asciiTheme="majorHAnsi" w:eastAsia="Times New Roman" w:hAnsiTheme="majorHAnsi" w:cs="Times New Roman"/>
              <w:noProof/>
              <w:color w:val="365F91"/>
              <w:sz w:val="18"/>
              <w:szCs w:val="18"/>
            </w:rPr>
          </w:pPr>
          <w:hyperlink r:id="rId2" w:history="1">
            <w:r w:rsidR="007D214F" w:rsidRPr="001707CE">
              <w:rPr>
                <w:rStyle w:val="Hyperlink"/>
                <w:rFonts w:asciiTheme="majorHAnsi" w:eastAsia="Times New Roman" w:hAnsiTheme="majorHAnsi" w:cs="Times New Roman"/>
                <w:noProof/>
                <w:sz w:val="18"/>
                <w:szCs w:val="18"/>
              </w:rPr>
              <w:t>pcecchini@cantor.com</w:t>
            </w:r>
          </w:hyperlink>
          <w:r w:rsidR="007D214F" w:rsidRPr="001707CE">
            <w:rPr>
              <w:rFonts w:asciiTheme="majorHAnsi" w:eastAsia="Times New Roman" w:hAnsiTheme="majorHAnsi" w:cs="Times New Roman"/>
              <w:noProof/>
              <w:color w:val="365F91"/>
              <w:sz w:val="18"/>
              <w:szCs w:val="18"/>
            </w:rPr>
            <w:t xml:space="preserve"> | (212) 294-7711</w:t>
          </w:r>
        </w:p>
      </w:tc>
    </w:tr>
  </w:tbl>
  <w:p w14:paraId="7769CBD6" w14:textId="1966AFDE" w:rsidR="00786FBE" w:rsidRDefault="007D214F">
    <w:pPr>
      <w:pStyle w:val="Header"/>
    </w:pPr>
    <w:r>
      <w:rPr>
        <w:rFonts w:asciiTheme="majorHAnsi" w:hAnsiTheme="majorHAnsi" w:cs="Times New Roman"/>
      </w:rPr>
      <w:t>November 25</w:t>
    </w:r>
    <w:r w:rsidRPr="00BF7E9B">
      <w:rPr>
        <w:rFonts w:asciiTheme="majorHAnsi" w:hAnsiTheme="majorHAnsi" w:cs="Times New Roman"/>
        <w:vertAlign w:val="superscript"/>
      </w:rPr>
      <w:t>th</w:t>
    </w:r>
    <w:r>
      <w:rPr>
        <w:rFonts w:asciiTheme="majorHAnsi" w:hAnsiTheme="majorHAnsi" w:cs="Times New Roman"/>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7D4"/>
    <w:multiLevelType w:val="hybridMultilevel"/>
    <w:tmpl w:val="230601EC"/>
    <w:lvl w:ilvl="0" w:tplc="11346CB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70"/>
    <w:rsid w:val="0001527C"/>
    <w:rsid w:val="000665AB"/>
    <w:rsid w:val="000C3A15"/>
    <w:rsid w:val="000F6728"/>
    <w:rsid w:val="0013144C"/>
    <w:rsid w:val="001707CE"/>
    <w:rsid w:val="0018094A"/>
    <w:rsid w:val="00181FC1"/>
    <w:rsid w:val="001C42CD"/>
    <w:rsid w:val="00217E60"/>
    <w:rsid w:val="002413FC"/>
    <w:rsid w:val="002432F3"/>
    <w:rsid w:val="00243E96"/>
    <w:rsid w:val="00245760"/>
    <w:rsid w:val="00265A3A"/>
    <w:rsid w:val="00305384"/>
    <w:rsid w:val="00384060"/>
    <w:rsid w:val="003E5393"/>
    <w:rsid w:val="003F1306"/>
    <w:rsid w:val="0040090D"/>
    <w:rsid w:val="004011E7"/>
    <w:rsid w:val="004069C5"/>
    <w:rsid w:val="00482B48"/>
    <w:rsid w:val="00495C3F"/>
    <w:rsid w:val="004C06D2"/>
    <w:rsid w:val="0057438D"/>
    <w:rsid w:val="005D4EE8"/>
    <w:rsid w:val="006106BE"/>
    <w:rsid w:val="00646B18"/>
    <w:rsid w:val="00655BEE"/>
    <w:rsid w:val="006968E8"/>
    <w:rsid w:val="006D1F97"/>
    <w:rsid w:val="00703077"/>
    <w:rsid w:val="00747336"/>
    <w:rsid w:val="007636C5"/>
    <w:rsid w:val="00770B34"/>
    <w:rsid w:val="00786FBE"/>
    <w:rsid w:val="0079773B"/>
    <w:rsid w:val="007D214F"/>
    <w:rsid w:val="00875429"/>
    <w:rsid w:val="00887570"/>
    <w:rsid w:val="008C11C7"/>
    <w:rsid w:val="00994AB0"/>
    <w:rsid w:val="009E05BC"/>
    <w:rsid w:val="00AC090B"/>
    <w:rsid w:val="00B03CA0"/>
    <w:rsid w:val="00B233A6"/>
    <w:rsid w:val="00BA2E9A"/>
    <w:rsid w:val="00BB7019"/>
    <w:rsid w:val="00BC423F"/>
    <w:rsid w:val="00C3408C"/>
    <w:rsid w:val="00CB754D"/>
    <w:rsid w:val="00CC1171"/>
    <w:rsid w:val="00CE24B4"/>
    <w:rsid w:val="00D13142"/>
    <w:rsid w:val="00D35F8A"/>
    <w:rsid w:val="00D4436E"/>
    <w:rsid w:val="00D92627"/>
    <w:rsid w:val="00DC46E4"/>
    <w:rsid w:val="00DE4E7F"/>
    <w:rsid w:val="00DE7A28"/>
    <w:rsid w:val="00E20523"/>
    <w:rsid w:val="00E9414D"/>
    <w:rsid w:val="00E96E47"/>
    <w:rsid w:val="00EB0524"/>
    <w:rsid w:val="00EB6AA1"/>
    <w:rsid w:val="00EE1956"/>
    <w:rsid w:val="00F00462"/>
    <w:rsid w:val="00F15568"/>
    <w:rsid w:val="00F17AEB"/>
    <w:rsid w:val="00F61CF4"/>
    <w:rsid w:val="00FA5851"/>
    <w:rsid w:val="00FF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6AAB7"/>
  <w15:chartTrackingRefBased/>
  <w15:docId w15:val="{762D5A64-400F-4BE5-9FFB-D902953C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87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footnotereference">
    <w:name w:val="x_msofootnotereference"/>
    <w:basedOn w:val="DefaultParagraphFont"/>
    <w:rsid w:val="00887570"/>
  </w:style>
  <w:style w:type="paragraph" w:customStyle="1" w:styleId="xmsolistparagraph">
    <w:name w:val="x_msolistparagraph"/>
    <w:basedOn w:val="Normal"/>
    <w:rsid w:val="0088757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96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8E8"/>
    <w:rPr>
      <w:sz w:val="20"/>
      <w:szCs w:val="20"/>
    </w:rPr>
  </w:style>
  <w:style w:type="character" w:styleId="FootnoteReference">
    <w:name w:val="footnote reference"/>
    <w:basedOn w:val="DefaultParagraphFont"/>
    <w:uiPriority w:val="99"/>
    <w:semiHidden/>
    <w:unhideWhenUsed/>
    <w:rsid w:val="006968E8"/>
    <w:rPr>
      <w:vertAlign w:val="superscript"/>
    </w:rPr>
  </w:style>
  <w:style w:type="paragraph" w:styleId="BalloonText">
    <w:name w:val="Balloon Text"/>
    <w:basedOn w:val="Normal"/>
    <w:link w:val="BalloonTextChar"/>
    <w:uiPriority w:val="99"/>
    <w:semiHidden/>
    <w:unhideWhenUsed/>
    <w:rsid w:val="00015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7C"/>
    <w:rPr>
      <w:rFonts w:ascii="Segoe UI" w:hAnsi="Segoe UI" w:cs="Segoe UI"/>
      <w:sz w:val="18"/>
      <w:szCs w:val="18"/>
    </w:rPr>
  </w:style>
  <w:style w:type="paragraph" w:styleId="Caption">
    <w:name w:val="caption"/>
    <w:basedOn w:val="Normal"/>
    <w:next w:val="Normal"/>
    <w:uiPriority w:val="35"/>
    <w:unhideWhenUsed/>
    <w:qFormat/>
    <w:rsid w:val="00655BEE"/>
    <w:pPr>
      <w:spacing w:after="200" w:line="240" w:lineRule="auto"/>
    </w:pPr>
    <w:rPr>
      <w:i/>
      <w:iCs/>
      <w:color w:val="44546A" w:themeColor="text2"/>
      <w:sz w:val="18"/>
      <w:szCs w:val="18"/>
    </w:rPr>
  </w:style>
  <w:style w:type="character" w:styleId="Hyperlink">
    <w:name w:val="Hyperlink"/>
    <w:basedOn w:val="DefaultParagraphFont"/>
    <w:uiPriority w:val="99"/>
    <w:unhideWhenUsed/>
    <w:rsid w:val="003F1306"/>
    <w:rPr>
      <w:color w:val="0563C1" w:themeColor="hyperlink"/>
      <w:u w:val="single"/>
    </w:rPr>
  </w:style>
  <w:style w:type="paragraph" w:styleId="Header">
    <w:name w:val="header"/>
    <w:basedOn w:val="Normal"/>
    <w:link w:val="HeaderChar"/>
    <w:uiPriority w:val="99"/>
    <w:unhideWhenUsed/>
    <w:rsid w:val="00170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7CE"/>
  </w:style>
  <w:style w:type="paragraph" w:styleId="Footer">
    <w:name w:val="footer"/>
    <w:basedOn w:val="Normal"/>
    <w:link w:val="FooterChar"/>
    <w:uiPriority w:val="99"/>
    <w:unhideWhenUsed/>
    <w:rsid w:val="00170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CE"/>
  </w:style>
  <w:style w:type="table" w:styleId="LightShading-Accent1">
    <w:name w:val="Light Shading Accent 1"/>
    <w:basedOn w:val="TableNormal"/>
    <w:uiPriority w:val="60"/>
    <w:rsid w:val="001707CE"/>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7D214F"/>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2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59889.1D7361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59889.1D7361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press/key/date/2019/html/ecb.sp190904~4deab30349.en.pdf?dc6f6d986618a3de04bb44ec166be605&amp;mod=article_inline" TargetMode="External"/><Relationship Id="rId2" Type="http://schemas.openxmlformats.org/officeDocument/2006/relationships/hyperlink" Target="https://asia.nikkei.com/Opinion/World-has-learned-wrong-lessons-from-Japanification" TargetMode="External"/><Relationship Id="rId1" Type="http://schemas.openxmlformats.org/officeDocument/2006/relationships/hyperlink" Target="https://www.federalreserve.gov/monetarypolicy/bst_openmarketops.htm" TargetMode="External"/><Relationship Id="rId4" Type="http://schemas.openxmlformats.org/officeDocument/2006/relationships/hyperlink" Target="https://static.norges-bank.no/contentassets/8cfbb9eaebd7411691e13096d9a9a36a/working_paper_4_19.pdf?v=01/18/2019100151&amp;ft=.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cecchini@cantor.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383B-322F-4233-A774-74192DE2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Cecchini</dc:creator>
  <cp:keywords/>
  <dc:description/>
  <cp:lastModifiedBy>Harper Hunt</cp:lastModifiedBy>
  <cp:revision>2</cp:revision>
  <cp:lastPrinted>2019-11-25T19:58:00Z</cp:lastPrinted>
  <dcterms:created xsi:type="dcterms:W3CDTF">2019-11-25T20:23:00Z</dcterms:created>
  <dcterms:modified xsi:type="dcterms:W3CDTF">2019-11-25T20:23:00Z</dcterms:modified>
</cp:coreProperties>
</file>